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D-4880/2023 vom 22. September 2023</w:t>
      </w:r>
    </w:p>
    <w:p>
      <w:r>
        <w:t>Bundesverwaltungsgericht, 2023-09-22, DE</w:t>
      </w:r>
    </w:p>
    <w:p>
      <w:r>
        <w:rPr>
          <w:b/>
        </w:rPr>
        <w:t xml:space="preserve">Quelle: </w:t>
      </w:r>
      <w:r>
        <w:t>https://mcp.opencaselaw.ch/entscheid/bvger_D-4880_2023</w:t>
      </w:r>
    </w:p>
    <w:p>
      <w:r>
        <w:t>FR: TAF D-4880/2023 du 22 septembre 2023</w:t>
      </w:r>
    </w:p>
    <w:p>
      <w:r>
        <w:t>IT: TAF D-4880/2023 del 22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somit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w:t>
      </w:r>
    </w:p>
    <w:p>
      <w:r>
        <w:t>Vorab ist festzuhalten, dass dem Beschwerdeführer gemäss der in den Akten liegenden Empfangsbestätigung das Urteil des Bundesverwaltungsgerichts D-2517/2023 vom 10. Mai 2023 am 16. Mai 2023 eröffnet wurde, weshalb auf die gegenteiligen Behauptungen in der Beschwerde nicht weiter einzugehen ist.</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Der Beschwerdeführer rügt in formeller Hinsicht eine unvollständige und unrichtige Sachverhaltsermittlung. Er führt aus, zum Beleg seines Aufenthalts in Serbien könne die Vorinstanz das in Frage stehende Hotel kontaktieren und entsprechend nachfragen. Er habe von diesem Hotel erfahren, dass sich die Vorinstanz bezüglich anderer Gäste erkundigt habe. Er frage sich nun, weshalb das SEM dies nicht im Zusammenhang mit seiner Person gemacht habe. Diese formelle Rüge ist vorab zur prüfen, da sie geeignet sein könnte, eine Kassation der vorinstanzlichen Verfügung zu bewirken.</w:t>
      </w:r>
    </w:p>
    <w:p>
      <w:r>
        <w:rPr>
          <w:b/>
        </w:rPr>
        <w:t>E. 5.2</w:t>
      </w:r>
    </w:p>
    <w:p>
      <w:r>
        <w:t>Das SEM hat sich in seiner neuen Verfügung ausführlich zu der vom Beschwerdeführer geltend gemachten Ausreise aus dem Dublin-Raum für mehr als drei Monate geäussert. So führte es bezüglich des eingereichten Beweismittels aus, bei dem zum Beleg seines angeblichen Aufenthalts ausserhalb des Dublin-Raums eingereichten Beweismittel handle es sich um ein Dokument, dessen Beweiswert als äusserst gering einzustufen sei. Es handle sich um kein amtliches Schreiben von zweifelsfreier Herkunft, vielmehr könne das eingereichte Formular von unbestimmten Dritten beliebig ausgestellt werden. Die Zweifel würden dadurch erhärtet, dass er lediglich in der Lage sei, ein einziges Dokument einzureichen. Die allgemeine Erfahrung lehre, dass für eine derart lange Zeitspanne - der Beschwerdeführer habe eine Aufenthaltsdauer in Serbien von (...) Monaten (...) geltend gemacht - weit mehr Dokumente und sonstige Nachweise für einen Aufenthalt in dem entsprechenden Land anfallen müssten, welche er der Asylbehörde auch vorlegen könnte. Dies sei aber nicht der Fall und er habe seit dem Urteil des Bundesverwaltungsgerichts vom 10. Mai 2023 keine weiteren Dokumente oder Hinweise nachgereicht, welche die Einschätzungen des SEM, wonach er den Aufenthalt in Serbien lediglich vortäusche, umzustossen könnte. Ferner hätten Recherchen des SEM in Serbien selbst aufgezeigt, dass die auf den Formularen erwähnten Hotels oder Bed-and-Breakfast-Einrichtungen bei direkter Konsultation lediglich die Buchungen, jedoch nicht mehr bestätigen könnten. Angesichts dieser Ausführungen ist nicht zu beanstanden, dass die Vorinstanz diesbezüglich keine weiteren Nachforschungen getätigt hat. Soweit der Beschwerdeführer moniert, die angefochtene Verfügung weise einen Widerspruch bezüglich des Wegweisungsvollzugs beziehungsweise dessen Frist auf, ist Folgendes festzuhalten: Ziffer 3 des Dispositivs der angefochtenen Verfügung hält fest, der Beschwerdeführer müsse die Schweiz am Tag nach Ablauf der Beschwerdefrist verlassen, ansonsten er inhaftiert und unter Zwang in den für ihn zuständigen Dublin-Mitgliedstaat zurückgeführt werden könne. Demgegenüber steht die vom Beschwerdeführer angeführte Erwägung, wonach die Überstellung des Beschwerdeführers nach Frankreich bis spätestens am 10. November 2023 zu erfolgen habe, in keinem Widerspruch zu vorgenannter Dispositivziffer, da sich diese explizit auf den Fristenlauf zur Überstellung des Beschwerdeführers nach Frankreich im Sinne von Art. 29 Dublin-III-VO bezieht.</w:t>
      </w:r>
    </w:p>
    <w:p>
      <w:r>
        <w:rPr>
          <w:b/>
        </w:rPr>
        <w:t>E. 5.3</w:t>
      </w:r>
    </w:p>
    <w:p>
      <w:r>
        <w:t>Nach den vorangehenden Erwägungen erweisen sich die verfahrensrechtlichen Rügen als unbegründet. Eine Rückweisung an die Vorinstanz ist nicht angezeigt.</w:t>
      </w:r>
    </w:p>
    <w:p>
      <w:r>
        <w:rPr>
          <w:b/>
        </w:rPr>
        <w:t>E. 6.1</w:t>
      </w:r>
    </w:p>
    <w:p>
      <w:r>
        <w:t>Nachfolgend ist zu prüfen, ob die Vorinstanz zu Recht nicht auf das Asylgesuch des Beschwerdeführers eingetreten ist.</w:t>
      </w:r>
    </w:p>
    <w:p>
      <w:r>
        <w:rPr>
          <w:b/>
        </w:rPr>
        <w:t>E. 6.2</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6.3</w:t>
      </w:r>
    </w:p>
    <w:p>
      <w:r>
        <w:t>Gemäss Art. 3 Abs. 1 Dublin-III-VO wird jeder Asylantrag von einem einzigen Mitgliedstaat geprüft, der nach den Kriterien des Kapitels III als zuständiger Staat bestimmt wird. Im Rahmen eines Wiederaufnahmeverfahrens (engl.: «take back») findet demgegenüber grundsätzlich keine (erneute) Zuständigkeitsprüfung nach Kapitel III statt (vgl. zum Ganzen BVGE 2019 VI/7 E. 4-6; 2017 VI/5 E. 6.2 und 8.2.1 m.w.H.).</w:t>
      </w:r>
    </w:p>
    <w:p>
      <w:r>
        <w:rPr>
          <w:b/>
        </w:rPr>
        <w:t>E. 6.4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6.5</w:t>
      </w:r>
    </w:p>
    <w:p>
      <w:r>
        <w:t>Der nach der Dublin-III-VO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Diese Verpflichtung erlischt, wenn die gesuchstellende Person das Herrschaftsgebiet der Mitgliedstaaten während einer Dauer von mindestens drei Monaten verlassen hat, ausser die Person verfüge über einen durch den zuständigen Mitgliedstaat ausgestellten Aufenthaltstitel (vgl. Art. 19 Abs. 2 Dublin-III-VO).</w:t>
      </w:r>
    </w:p>
    <w:p>
      <w:r>
        <w:rPr>
          <w:b/>
        </w:rPr>
        <w:t>E. 6.6</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7.1</w:t>
      </w:r>
    </w:p>
    <w:p>
      <w:r>
        <w:t>Die Vorinstanz begründete ihren Entscheid zur Zuständigkeit Frankreichs damit, dass die französischen Behörden der Wiederaufnahme des Beschwerdeführers am 27. Februar 2023 gestützt auf Art. 18 Abs. 1 Bst. d Dublin-III-VO zustimmten und er seinen geltend gemachten über dreimonatigen Aufenthalt ausserhalb des Schengenraums nicht habe belegen können (vgl. vorstehend E. 5.2). Weiter sei mangels entsprechender Einwände seitens der französischen Behörden anzunehmen, dass diese nicht von einem Aufenthalt ausserhalb des Dublin-Raums für die geltend gemachte Zeitperiode ausgehen würden. Insgesamt sei dem Beschwerdeführer ein Nachweis des Erlöschens der Zuständigkeit Frankreichs nicht gelungen. Bei einer Überstellung nach Frankreich sei nicht davon auszugehen, dass er gravierenden Menschenrechtsverletzungen im Sinne von Art. 3 Abs. 2 Dublin-III-VO und Art. 3 EMRK ausgesetzt werde, noch in eine existenzielle Notlage geraten oder ohne Prüfung seines Asylgesuchs unter Verletzung des Non-Refoulement-Gebots in seinen Heimat- oder Herkunftsstaat überstellt werde.</w:t>
      </w:r>
    </w:p>
    <w:p>
      <w:r>
        <w:rPr>
          <w:b/>
        </w:rPr>
        <w:t>E. 7.2</w:t>
      </w:r>
    </w:p>
    <w:p>
      <w:r>
        <w:t>In seiner Rechtsmitteleingabe hält der Beschwerdeführer in pauschaler Art und Weise an der Glaubhaftigkeit seiner Vorbringen fest und führt aus, er habe nachgewiesen, dass er mehr als neunzig Tage ausserhalb des Dublin-Raumes gewesen sei.</w:t>
      </w:r>
    </w:p>
    <w:p>
      <w:r>
        <w:rPr>
          <w:b/>
        </w:rPr>
        <w:t>E. 8.1</w:t>
      </w:r>
    </w:p>
    <w:p>
      <w:r>
        <w:t>Nachdem die französischen Behörden dem Wiederaufnahmegesuch der Vorinstanz im Sinne von Art. 18 Abs. 1 Bst. d Dublin-III-VO zugestimmt haben, ist die Zuständigkeit Frankreichs grundsätzlich gegeben.</w:t>
      </w:r>
    </w:p>
    <w:p>
      <w:r>
        <w:rPr>
          <w:b/>
        </w:rPr>
        <w:t>E. 8.2.1</w:t>
      </w:r>
    </w:p>
    <w:p>
      <w:r>
        <w:t>Der Beschwerdeführer macht sinngemäss geltend, die Zuständigkeit im Sinne von Art. 19 Abs. 2 Dublin-III-VO sei erloschen, da er sich während mehr als drei Monaten in Serbien und somit ausserhalb des Schengenraums aufgehalten habe.</w:t>
      </w:r>
    </w:p>
    <w:p>
      <w:r>
        <w:rPr>
          <w:b/>
        </w:rPr>
        <w:t>E. 8.2.2</w:t>
      </w:r>
    </w:p>
    <w:p>
      <w:r>
        <w:t>Um eine Ausreise von mindestens drei Monaten (aus dem Schengenraum) gemäss Art. 19 Abs. 2 Dublin-III-VO zu belegen, werden Beweismittel und Indizien verwendet, welche durch die Durchführungsverordnung in zwei Verzeichnissen festgelegt werden. Diese beiden Verzeichnisse sind in Anhang 2 der Durchführungsverordnung enthalten. Die jeweiligen Ziffern 9 der beiden Verzeichnisse legen fest, welche Beweismittel und Indizien zur Feststellung des Erlöschens gemäss Art. 19 Abs. 2 Dublin-III-VO Verwendung finden. Als Beweismittel gelten etwa «Ausreisestempel» aber auch ein «Bericht/Bestätigung seitens des Mitgliedstaats, von dem aus der Antragsteller das Hoheitsgebiet der Mitgliedstaaten verlassen hat», so dass klar ist, dass es nicht auf den Nachweis des Zeitraums ankommt, solange das Verlassen des Hoheitsgebiets feststeht. Bei Fehlen von förmlichen Beweismitteln gemäss der Verordnung sind die vorgelegten Indizien zu berücksichtigen. Darunter fallen unter anderem «ausführliche und nachprüfbare Erklärungen des Antragstellers» sowie etwa «Daten, aus denen hervorgeht, dass der Antragsteller die Dienste eines Schleppers oder eines Reisebüros in Anspruch genommen hat» und «sonstige Indizien gleicher Art», welche im Sinne der Verordnung nicht als Beweismittel gelten (Art. 22 Abs. 2, Abs. 3 und Abs. 5 Dublin-III-VO; Anhang 2 der Durchführungsverordnung). Somit können grundsätzlich auch glaubhafte Vorbringen einer Person genügen oder sogenannte Indizien gemäss der Dublin-III-VO, um die Anwendbarkeit von Art. 19 Abs. 2 Dublin-III-VO festzustellen (vgl. zum Ganzen Urteil des BVGer D-4239/2021 vom 19. Oktober 2021 E. 6).</w:t>
      </w:r>
    </w:p>
    <w:p>
      <w:r>
        <w:rPr>
          <w:b/>
        </w:rPr>
        <w:t>E. 8.2.3</w:t>
      </w:r>
    </w:p>
    <w:p>
      <w:r>
        <w:t>Der Datenbank Eurodac ist zu entnehmen, dass der Beschwerdeführer am 20. September 2021 in Frankreich ein Asylgesuch eingereicht hatte. Eine (offizielle) Ausreise ist hingegen weder vermerkt noch vom Beschwerdeführer belegt. Bezüglich der mangelnden Beweiskraft des eingereichten Formulars «Confirmation of the visitor stay at the accomodation facility» sowie der serbischen Banknoten, ist vollumfänglich auf die vorinstanzliche Verfügung zu verweisen (vgl. S: 4 f). Selbst bei Einreichung der in Aussicht gestellten Hotelrechnung würde dies den behaupteten Aufenthalt von mindestens drei Monaten ausserhalb des Schengenraums nicht zu belegen vermögen, da einem solchen Beweismittel keine entscheidende Beweiskraft zugesprochen werden könnte. Im Übrigen hat der Beschwerdeführer mit keinem Wort dargelegt, weshalb es ihm nicht möglich gewesen sein sollte, das Dokument bereit früher einzureichen. Es besteht demnach keine Veranlassung, die Nachreichung des in Aussicht gestellten Beweismittels abzuwarten.</w:t>
      </w:r>
    </w:p>
    <w:p>
      <w:r>
        <w:rPr>
          <w:b/>
        </w:rPr>
        <w:t>E. 8.2.4</w:t>
      </w:r>
    </w:p>
    <w:p>
      <w:r>
        <w:t>Das Gericht kommt in Übereinstimmung mit der Vorinstanz zum Schluss, dass der Beschwerdeführer nicht belegen konnte, sich mindestens drei Monate ausserhalb des Schengen-Dublinraums aufgehalten zu haben. Demnach ist vorliegend die Zuständigkeit Frankreichs gemäss Art. 19 Abs. 2 Dublin-III-VO nicht erloschen.</w:t>
      </w:r>
    </w:p>
    <w:p>
      <w:r>
        <w:rPr>
          <w:b/>
        </w:rPr>
        <w:t>E. 9.1</w:t>
      </w:r>
    </w:p>
    <w:p>
      <w:r>
        <w:t>Der Beschwerdeführer konnte keine konkreten und ernsthaften Gründe darlegen, dass die französischen Behörden seinen Antrag auf internationalen Schutz nicht unter Einhaltung ihrer internationalen Verpflichtungen behandeln würden. Den Akten sind ferner keine Gründe für die Annahme zu entnehmen, die französischen Behörden würden den Grundsatz des Non-Refoulements missachten und ihn zur Ausreise in ein Land zwingen, in dem sein Leib, sein Leben oder seine Freiheit aus einem Grund nach Art. 3 Abs. 1 AsylG gefährdet ist oder in dem er Gefahr laufen würde, zur Ausreise in ein solches Land gezwungen zu werden. Es liegen zudem keine Hinweise dafür vor, dass die Behandlung des Asylgesuchs des Beschwerdeführers in Frankreich mangelhaft gewesen sein könnte. Ausserdem liegen offensichtlich keine Gründe vor, welche im Sinne von Art. 3 Abs. 2 Dublin-III-VO auf systematische Schwachstellen im französischen Asyl- und Wegweisungsverfahren hinweisen und zu einer Verletzung von Art. 4 der EU-Grundrechtecharta, Art. 3 EMRK oder Art. 3 des Übereinkommens vom 10. Dezember 1984 gegen Folter und andere grausame, unmenschliche oder erniedrigende Behandlung oder Strafe (FoK, SR 0.105) führen könnten. Es bestehen somit keine Gründe für die Anwendung von Art. 3 Abs. 2 Dublin-III-VO.</w:t>
      </w:r>
    </w:p>
    <w:p>
      <w:r>
        <w:rPr>
          <w:b/>
        </w:rPr>
        <w:t>E. 9.2</w:t>
      </w:r>
    </w:p>
    <w:p>
      <w:r>
        <w:t>Der Beschwerdeführer macht in seiner Beschwerde nicht geltend, einer Überstellung würden gesundheitliche Gründe entgegenstehen. Der Vollständigkeit halber ist dennoch in Bezug auf den medizinischen Sachverhalt festzuhalten, dass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Im Rahmen des medizinischen Sachverhalts sind folgende gesundheitlichen Probleme aufgeführt worden: (...). Gleichzeitig ist den Akten zu entnehmen, dass der Beschwerdeführer aktuell keine medizinische Hilfe in Anspruch nimmt und auf Beschwerdeebene hat er - wie schon erwähnt - keine gesundheitlichen Probleme geltend gemacht. Der aktenkundige Gesundheitszustand vermag kein Überstellungshindernis im Sinne der erwähnten restriktiven Rechtsprechung zu rechtfertigen. Zudem können gesundheitliche Beschwerden in Frankreich im Bedarfsfall (weiter) behandelt werden. Es ist allgemein bekannt, dass Frankreich über eine ausreichende medizinische Infrastruktur verfügt. Es liegen zudem keine Hinweise vor, wonach Frankreich dem Beschwerdeführer eine adäquate medizinische Behandlung verweigern würde. Die gesundheitlichen Beschwerden könnten alsdann höchstens die Reisefähigkeit tangieren, welche im Zeitpunkt der tatsächlichen Überstellung konkret abzuklären ist. Weiter wird den gesundheitlichen Beschwerden des Beschwerdeführers bei den Überstellungsmodalitäten Rechnung getragen werden (vgl. Art. 31 f. Dublin-III-VO). Es ist somit nicht davon auszugehen, dass aufgrund des aktuellen Gesundheitszustands des Beschwerdeführers bei einer Überstellung nach Frankreich eine Verletzung von Art. 3 EMRK droht.</w:t>
      </w:r>
    </w:p>
    <w:p>
      <w:r>
        <w:rPr>
          <w:b/>
        </w:rPr>
        <w:t>E. 9.3</w:t>
      </w:r>
    </w:p>
    <w:p>
      <w:r>
        <w:t>Gemäss Praxis des Bundesverwaltungsgerichts verfügt das SEM bei der Anwendung der Kann-Bestimmung von Art. 29a Abs. 3 AsylV 1 über einen Ermessensspielraum (vgl. BVGE 2015/9 E. 7 f.). Die angefochtene Verfügung ist auch unter diesem Blickwinkel nicht zu beanstanden.</w:t>
      </w:r>
    </w:p>
    <w:p>
      <w:r>
        <w:rPr>
          <w:b/>
        </w:rPr>
        <w:t>E. 9.4</w:t>
      </w:r>
    </w:p>
    <w:p>
      <w:r>
        <w:t>Es liegen weder völkerrechtliche Vollzugshindernisse vor, welche die Schweiz zum Selbsteintritt verpflichten würden, noch Rechtsfehler bei der Ermessenbetätigung. Es liegt folglich kein Grund für einen Selbsteintritt der Schweiz gemäss Art. 29a Abs. 3 AsylV 1 in Verbindung mit Art. 17 Dublin-III-VO vor. Frankreich bleibt somit zuständiger Mitgliedstaat gemäss Dublin-III-VO und ist verpflichtet, den Beschwerdeführer wiederaufzunehmen.</w:t>
      </w:r>
    </w:p>
    <w:p>
      <w:r>
        <w:rPr>
          <w:b/>
        </w:rPr>
        <w:t>E. 10</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 Unter diesen Umständen sind allfällige Vollzugshindernisse gemäss Art. 83 Abs. 3 und 4 AIG (SR 142.20) nicht mehr zu prüfen, da das Fehlen von Überstellungshindernissen bereits Voraussetzung des Nichteintretensentscheids gemäss Art. 31a Abs. 1 Bst. b AsylG ist (vgl. BVGE 2015/18 E. 5.2 m.w.H.).</w:t>
      </w:r>
    </w:p>
    <w:p>
      <w:r>
        <w:rPr>
          <w:b/>
        </w:rPr>
        <w:t>E. 11</w:t>
      </w:r>
    </w:p>
    <w:p>
      <w:r>
        <w:t>Nach den vorangehenden Erwägungen ist die Beschwerde abzuweisen und die Verfügung der Vorinstanz vom 30. August 2023 zu bestätigen.</w:t>
      </w:r>
    </w:p>
    <w:p>
      <w:r>
        <w:rPr>
          <w:b/>
        </w:rPr>
        <w:t>E. 12.1</w:t>
      </w:r>
    </w:p>
    <w:p>
      <w:r>
        <w:t>Der am 13. September 2023 verfügte Vollzugsstopp fällt mit dem vorliegenden Urteil dahin.</w:t>
      </w:r>
    </w:p>
    <w:p>
      <w:r>
        <w:rPr>
          <w:b/>
        </w:rPr>
        <w:t>E. 12.2</w:t>
      </w:r>
    </w:p>
    <w:p>
      <w:r>
        <w:t>Mit vorliegendem Urteil sind die Gesuche um Verzicht auf die Erhebung eines Kostenvorschusses sowie um Gewährung der aufschiebenden Wirkung der Beschwerde gegenstandslos geworden.</w:t>
      </w:r>
    </w:p>
    <w:p>
      <w:r>
        <w:rPr>
          <w:b/>
        </w:rPr>
        <w:t>E. 12.3</w:t>
      </w:r>
    </w:p>
    <w:p>
      <w:r>
        <w:t>Das Gesuch um Gewährung der unentgeltlichen Prozessführung (Art. 65 Abs. 1 VwVG) ist ungeachtet der prozessualen Bedürftigkeit abzuweisen, da sich die Beschwerdebegehren entsprechend den vorstehenden Erwägungen von vornherein als aussichtslos erwiesen haben.</w:t>
      </w:r>
    </w:p>
    <w:p>
      <w:r>
        <w:rPr>
          <w:b/>
        </w:rPr>
        <w:t>E. 12.4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