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D-4879/2006 vom 16. Juni 2008</w:t>
      </w:r>
    </w:p>
    <w:p>
      <w:r>
        <w:t>Bundesverwaltungsgericht, 2008-06-16, DE</w:t>
      </w:r>
    </w:p>
    <w:p>
      <w:r>
        <w:rPr>
          <w:b/>
        </w:rPr>
        <w:t xml:space="preserve">Quelle: </w:t>
      </w:r>
      <w:r>
        <w:t>https://mcp.opencaselaw.ch/entscheid/bvger_D-4879_2006</w:t>
      </w:r>
    </w:p>
    <w:p>
      <w:r>
        <w:t>FR: TAF D-4879/2006 du 16 juin 2008</w:t>
      </w:r>
    </w:p>
    <w:p>
      <w:r>
        <w:t>IT: TAF D-4879/2006 del 16 giugno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Beschwerdeschrift vom 22. Februar 2006 macht der Beschwerdeführer im Wesentlichen geltend, er habe im Nordirak keine Zukunft, kein Haus, und niemand helfe ihm. Sein Vater habe mit Saddam Hussein kollaboriert und seine Schwester mit den Vereinigten Nationen. Darum könne er dort nicht leben. Er sei Christ und könne nicht mit Kurden und Arabern zusammen leben. Seine Probleme in der Schweiz seien eigentlich aus nichtigem Anlass entstanden, weil er nämlich ohne Geld und Verpflegung in Einsiedeln gewesen sei. Aufgrund einer Verkettung unglücklicher Umstände sei es ihm gegenüber zu Gewalttätigkeiten eines Zugsleiters und von Polizisten gekommen. In der Folge sei er in verschiedenen Institutionen immer wieder behandelt worden. Er aber habe frei sein wollen, und er sei nicht gefährlich gewesen. Die ihm von den Ärzten verordneten Medikamente hätten dazu geführt, dass sein Kopf kaputt gegangen sei. Er habe sich angezündet, Stimmen gehört und an seine Zukunft gedacht. Er habe nicht mehr leben wollen, habe Feuer gelegt und sich wegen den Brandverletzungen in einem (...) Spital behandeln lassen müssen. Dann sei er wieder in die Klinik geschickt worden. Er habe gestohlen, weil er nur wenig Geld gehabt und Stimmen gehört habe, welche ihn zum Stehlen aufgefordert hätten. Dies sei normalerweise nicht normal.</w:t>
      </w:r>
    </w:p>
    <w:p>
      <w:r>
        <w:rPr>
          <w:b/>
        </w:rPr>
        <w:t>E. 4</w:t>
      </w:r>
    </w:p>
    <w:p>
      <w:r>
        <w:t>Das BFM hebt die vorläufige Aufnahme auf und ordnet den Vollzug der Weg- oder Ausweisung an, wenn die Voraussetzungen nicht mehr gegeben sind (Art. 84 Abs. 2 des Bundesgesetzes über die Ausländerinnen und Ausländer vom 16. Dezember 2005 [AuG, SR 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5.1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5.1.1</w:t>
      </w:r>
    </w:p>
    <w:p>
      <w:r>
        <w:t>Niemand darf in irgendeiner Form zur Ausreise in ein Land gezwungen werden, in dem ihr Leib, ihr Leben oder ihre Freiheit aus einem Grund nach Art. 3 Abs. 1 AsylG gefährdet sind oder in dem sie Gefahr läuft, zur Ausreise in ein solches Land gezwungen zu werden (Art. 5 Abs. 1 AsylG; vgl. ebenso Art. 33 Abs. 1 FK). -:- -:- Dieses flüchtlingsrechtliche Rückschiebungsverbot schützt nur Personen, welche die Flüchtlingseigenschaft im Sinne von Art. 3 AsylG respektive Art. 1 A FK erfüllen. Nachdem das BFM in seiner Verfügung vom 30. April 1999, welche unangefochten in Rechtskraft erwuchs, festgestellt hatte, dass der Beschwerdeführer die Flüchtlingseigenschaft nicht erfüllt, kann das Prinzip des flüchtlingsrechtlichen Rückschiebungsverbots vorliegend nicht zur Anwendung gelangen. Der Vollzug der Wegweisung des Beschwerdeführers in den kurdisch verwalteten Nordirak ist daher unter dem Aspekt von Art. 5 AsylG rechtmässig.</w:t>
      </w:r>
    </w:p>
    <w:p>
      <w:r>
        <w:rPr>
          <w:b/>
        </w:rPr>
        <w:t>E. 5.1.2</w:t>
      </w:r>
    </w:p>
    <w:p>
      <w:r>
        <w:t>Gemäss Art. 25 Abs. 3 BV, Art. 3 FoK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Rückkehr in den Nordirak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Dies ist ihm indessen nicht gelungen, zumal seine Ausführungen zu seinem christlichen Glaubensbekenntnis - wie die Vorinstanz zu Recht festgehalten hat - nicht auf ein erhöhtes Gefährdungsprofil des Beschwerdeführers schliessen lassen. Desgleichen kann der Beschwerdeführer auch aus dem angeblichen Engagement seines Vaters zu Gunsten des Regimes von Saddam Hussein nichts zu seinen Gunsten ableiten. Wäre dieser nämlich tatsächlich Strafverteidiger mit besonderen Beziehungen zu Saddam Hussein gewesen, wie der Beschwerdeführer in seinem Schreiben vom 4. Oktober 2005 erstmals geltend machte, hätte er diesen Umstand bereits anlässlich der Anhörung vom 13. April 1999 durch das BFM erwähnen müssen (vgl. A5/19 S. 13). Stattdessen hat der Beschwerdeführer dieses Vorbringen zu einem späteren Zeitpunkt nachgeschoben, weshalb es unglaubhaft erscheint. In Anbetracht dieser Sachlage fehlt es an einem Anlass zur Annahme, die Familie des Beschwerdeführers sei bei den Kurden aufgrund der (nachgeschobenen) politischen Aktivitäten des Vaters verhasst gewesen. Was das Engagement einer Schwester für die UN anbelangt, so wäre ein solches der Akzeptanz des Beschwerdeführers im Kurdengebiet ohnehin kaum abträglich. Darüber hinaus gibt es aufgrund der Akten keine Hinweise auf anderweitige, glaubhafte Begebenheiten, welche zur gesellschaftlichen Ausgrenzung der Familie des Beschwerdeführers hätten führen können. Zur Vermeidung von Wiederholungen wird in diesem Zusammenhang auf die zutreffenden Erwägungen in der angefochtenen Verfügung verwiesen. Die allgemeine Sicherheits- und Menschenrechtslage im kurdischen Nordirak, welche in BVGE E-6982/2006 (Urteil vom 22. Januar 2008, zur Publikation vorgesehen) umfassend analysiert wurde, lässt den Wegweisungsvollzug im heutigen Zeitpunkt nicht als unzulässig erscheinen (a.a.O. E. 6.2 ff. und 6.6), dies umso weniger, als die Schutzfähigkeit und -willigkeit der staatlichen Machtträger im Nordirak grundsätzlich gegeben ist.</w:t>
      </w:r>
    </w:p>
    <w:p>
      <w:r>
        <w:rPr>
          <w:b/>
        </w:rPr>
        <w:t>E. 5.1.3</w:t>
      </w:r>
    </w:p>
    <w:p>
      <w:r>
        <w:t>Gemäss Bericht der Psychiatrischen Klinik X._______ vom 1. März 2006 ist von einer latent fortbestehenden Suizidalität des Beschwerdeführers auszugehen. Drohen Ausländer für den Fall des Vollzuges des Wegweisungsentscheides mit Suizid, so ist nach dem Europäischen Gerichtshof für Menschenrechte der wegweisende Staat nicht verpflichtet, vom Vollzug der Ausweisung Abstand zu nehmen; solange er Massnahmen ergreift, um die Umsetzung der Suiziddrohung zu verhindern, vermag die Ausschaffung nicht gegen Art. 3 EMRK zu verstossen. Im Fall Dragan gegen Deutschland hatte der Gerichtshof die Beschwerde einer psychisch kranken Frau zu beurteilen, die von den deutschen Behörden nach Rumänien ausgeschafft werden sollte und ernsthaft gedroht hatte, sie würde sich umbringen, wenn sie behördlich gezwungen würde, Deutschland zu verlassen. Der Gerichtshof, der davon ausging, dass die Beschwerdeführerin in Rumänien keiner hinreichend konkreten Gefahr ausgesetzt sein würde, dass ihre Krankheit nicht behandelt werden könnte, kam zum Schluss, dass nach Art. 3 EMRK keine Verpflichtung besteht, von einer zu vollziehenden Weg- oder Ausweisung Abstand zu nehmen, wenn die betroffene Person mit Suizid droht; die Zulässigkeit des Vollzugs der Weg- oder Ausweisung setzt dann allerdings voraus, dass der ausschaffende Staat geeignete Massnahmen ergreift, um die Umsetzung der Suiziddrohung im Zusammenhang mit der Ausschaffung zu verhindern (vgl. den Unzulässigkeitsentscheid des EGMR vom 7. Oktober 2004 i.S. Dragan und andere gegen Deutschland, Nr. 33743/03, angeführt in EMARK 2005 Nr. 23 E. 5.1 S. 212). In diesem Zusammenhang ist festzuhalten, dass die gesundheitlichen Probleme des Beschwerdeführers unter dem Blickwinkel von Art. 3 EMRK selbst dann kein völkerrechtliches Vollzugshindernis darstellen würden, falls im Irak der medizinische Standard schlechter als in der Schweiz wäre (vgl. EMARK 2004 Nr. 6 E. 7 S. 40 ff.;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Urteil des EGMR vom 6. Februar 2001 i.S. Bensaid gegen Vereinigtes Königreich {Grossbritannien}, E. 38, Beschwerde Nr. 44599/98; Entscheid des EGMR vom 29. Juni 2004 über die Zulassung der Beschwerde N. 7702/04 i.S. Salkic und andere gegen Schweden, "The Law", Ziff. 1, S. 7). Vielmehr steht fest, dass der Beschwerdeführer in seinem Heimatstaat auf die dort bestehenden und nach Kenntnis des Gerichts als ausreichend zu bezeichnenden psychiatrischen Behandlungsinstitutionen zurückgreifen kann (vgl. EMARK 1999 Nr. 5 E. 7c S. 33), zumal sich die Behandlung im Wesentlichen auf die regelmässige Einnahme der benötigten Medikamente beschränkt. Diese sind - von Versorgungsengpässen abgesehen - im Nordirak grundsätzlich erhältlich, in den staatlichen Einrichtungen für Einheimische, Flüchtlinge sowie intern Vertriebene ohne Unterschied fast kostenlos. Eine über die Abgabe von psychotropen Medikamenten - beispielsweise Haloperidol - hinausgehende, eigentliche psychiatrische Behandlung - etwa im Falle eines psychotischen Schubs - stünde dem Beschwerdeführer nötigenfalls im Medical Health Center von Z._______, welches von R._______ aus in einer etwa einstündigen Autofahrt zu erreichen ist, zur Verfügung. Im Übrigen gibt es im Nordirak auch zahlreiche Privatkliniken und Apotheken, in denen psychotrope Medikamente gegen Entgelt bezogen werden können. Dementsprechend ist die notwendige Behandlung des Beschwerdeführers im Nordirak selbst im Falle eines psychotischen Schubs verfügbar, wenngleich nicht auf einem in Westeuropa üblichen Standard (vgl. das zur Publikation vorgesehene Urteil BVGE E-4243/2007 vom 14. März 2008 E. 7.5.6). Der unterschiedliche Standard spielt in casu umso weniger eine Rolle, als der Beschwerdeführer - wie die Vorinstanz zu Recht festgehalten hat - mit seinem eigenen Verhalten die ihm angebotenen Hilfsmassnahmen über Jahre hinweg sabotiert hat. Eine sich allfällig aufdrängende Dämpfung der suizidalen Tendenzen des Beschwerdeführers könnte in Anwendung einer adäquaten medizinischen Rückkehrhilfe (Art. 93 Abs. 1 Bst. c AsylG i.V.m. Art. 75 der Asylverordnung 2 [AsylV 2; SR 142.312]), welche allenfalls mit einer durch medizinisches Fachpersonal begleiteten Ausschaffung verbunden sein müsste, auch bei der Rückführung des Beschwerdeführers in sein Heimatland gewährleistet werden. Im Uebrigen lässt sich die Frage der Reisefähigkeit im vorliegenden Verfahren letztendlich nur im Rahmen des tatsächlichen Vollzugs konkret überprüfen. Eine ärztlich bescheinigte Reiseunfähigkeit des Beschwerdeführers liegt jedenfalls bis heute nicht vor. Somit bildet auch eine allfällige Suizidalität des Beschwerdeführers kein völkerrechtliches Wegweisungshindernis.</w:t>
      </w:r>
    </w:p>
    <w:p>
      <w:r>
        <w:rPr>
          <w:b/>
        </w:rPr>
        <w:t>E. 5.1.4</w:t>
      </w:r>
    </w:p>
    <w:p>
      <w:r>
        <w:t>Nach dem Gesagten ist der Vollzug der Wegweisung sowohl im Sinne der asyl- als auch der völkerrechtlichen Bestimmungen zulässig.</w:t>
      </w:r>
    </w:p>
    <w:p>
      <w:r>
        <w:rPr>
          <w:b/>
        </w:rPr>
        <w:t>E. 5.2</w:t>
      </w:r>
    </w:p>
    <w:p>
      <w:r>
        <w:t>Aus humanitären Gründen, nicht in Erfüllung völkerrechtlicher Pflichten der Schweiz, wird auf den Vollzug der Wegweisung auch verzichtet, wenn die Rückkehr in den Heimatstaat für den Betroffenen eine konkrete Gefährdung im Sinne von Art. 83 Abs. 4 AuG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nicht durchführbaren medizinischen Behandlung, angenommen werden (vgl. Botschaft zum Bundesbeschluss über das Asylverfahren vom 22. Juni 1990, BBl 1990 II 668). Gemäss Art. 83 Abs. 7 Bst. b AuG wird die vorläufige Aufnahme nach den Absätzen 2 und 4 nicht verfügt, wenn die weg- oder ausgewiesene Person gegen die öffentliche Sicherheit und Ordnung erheblich oder wiederholt verstossen hat oder diese gefährdet oder die innere oder die äussere Sicherheit gefährdet.</w:t>
      </w:r>
    </w:p>
    <w:p>
      <w:r>
        <w:rPr>
          <w:b/>
        </w:rPr>
        <w:t>E. 5.3</w:t>
      </w:r>
    </w:p>
    <w:p>
      <w:r>
        <w:t>Es erübrigt sich an dieser Stelle, auf Fragen im Zusammenhang mit der Zumutbarkeit des Wegweisungsvollzugs in den Nordirak näher einzugehen. Denn auch wenn in casu die Existenz von Wegweisungshindernissen im Sinne von Art. 83 Abs. 2 und 4 AuG bejaht würde, stünde dies der Aufhebung der vorläufigen Aufnahme nicht entgegen. Die Wegweisungsschranke von Art. 83 Abs. 1 AuG findet nämlich keine Anwendung, wenn der weg- oder ausgewiesene Ausländer gegen die öffentliche Sicherheit und Ordnung verstossen oder diese gefährdet hat (Art. 83 Abs. 7 Bst. b AuG). Den Akten ist zu entnehmen, dass der Beschwerdeführer zahlreiche Delikte (unter anderem Urkundenfälschung, geringfügiger Betrug, mehrfache Gewalt und Drohung gegen Behörden und Beamte, mehrfachen Diebstahl, mehrfachen Hausfriedensbruch, sexuelle Handlungen mit Kindern, Besitz und Konsum von Betäubungsmitteln, Brandstiftung, qualifizierte einfache Körperverletzung, mehrfache Verletzung des Transportgesetzes) in der Schweiz begangen hat und mehrmals strafrechtlich verurteilt wurde. Der Beschwerdeführer stellt in der Eingabe vom 4. Oktober 2005 einen Zusammenhang her zwischen der Begehung dieser Taten und seiner Krankheit und macht geltend, er könne sich wegen seiner Krankheit nicht besser integrieren und auch keiner geregelten Erwerbsarbeit nachgehen. Dazu ist festzuhalten, dass eine endogene Geisteskrankheit wie die paranoide Schizophrenie statistisch gesehen keineswegs mit einem erhöhten Risiko für Delinquenz oder Erwerbsunfähigkeit einhergeht. Auch im Urteil vom 14. Dezember 2004 des Strafgerichts des Kantons V._______ ist nicht von Schuldunfähigkeit, sondern lediglich die Rede von Taten, die der Beschwerdeführer bei verminderter Zurechnungsfähigkeit im leichteren bis mittleren Grade begangen habe; dies bedeutet, dass der Beschwerdeführer von der ihm verbliebenen Steuerungsfähigkeit (allzu häufig) einen unzureichenden Gebrauch gemacht hat. Das Strafgericht ging im Übrigen zu Gunsten des Beschwerdeführers von einer mittleren Verminderung der Zurechnungsfähigkeit hinsichtlich aller ihm vorgeworfenen Delikte aus. Gleichzeitig wird in diesem Urteil festgehalten, dass aus forensisch-psychiatrischer Sicht beim Beschwerdeführer eine erhöhte Gefahr neuerlicher Straftaten besteht: "Es ist davon auszugehen, dass beim Exploranden zum jetzigen Zeitpunkt weitere Delikte, auch mit Gewaltanwendung möglich sind. Die Gefahr weiterer erheblicher rechtswidriger Taten dürfte sich im Rahmen der bisher verübten Delinquenz abspielen. Die Wahrscheinlichkeit für erneutes delinquentes Verhalten, für eine Brandstiftung und auch sexuelle Übergriffe im Ausmass der im August 2003 verübten Tat, muss als mittel bis hoch, im Bereich der übrigen, bisher verübten Delinquenz als hoch bezeichnet werden". Auch Phasen, in denen der Beschwerdeführer nicht delinquiert (beispielsweise während der Strafverbüssung), ändern an dieser Betrachtungsweise grundsätzlich nichts. Dem daraus resultierenden Sicherungsbedürfnis der Gesellschaft (vgl. BVGE 2007/32 E. 3.7.3 S. 391) ist - wie im oben erwähnten Strafurteil zu Recht festgehalten wird - durch geeignete ausländerrechtliche Massnahmen Rechnung zu tragen, dies umso mehr, als ein allfälliger, erneuter Missbrauch von Betäubungsmitteln (vgl. Arztzeugnis vom 1. März 2006 der Psychiatrischen Klinik X._______) die Rückfallgefahr, selbst bei gleichzeitiger medikamentöser Therapie der Schizophrenie, deutlich erhöhen dürfte. In Anbetracht der Sachlage ist davon auszugehen, dass der Beschwerdeführer nicht nur wiederholt gegen die öffentliche Sicherheit und Ordnung in der Schweiz verstossen hat, sondern aufgrund der Aktenlage nicht auszuschliessen ist, dass er jene auch inskünftig gefährden könnte. Dementsprechend ist davon auszugehen, dass der Beschwerdeführer erheblich und wiederholt gegen die öffentliche Sicherheit und Ordnung in der Schweiz verstossen hat und diese weiterhin gefährdet, weshalb das BFM die mit Verfügung vom 30. April 1999 angeordnete vorläufige Aufnahme des Beschwerdeführers zu Recht aufgehoben hat.</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Die von der Vorinstanz verfügte Aufhebung der vorläufigen Aufnahme des Beschwerdeführers ist nach dem Gesagten zu bestätigen. Angesichts der vorstehenden Ausführungen sowie der vom Bundesverwaltungsgericht festgelegten Praxis (vgl. den bereits erwähnten BVGE E-4243/2007) erübrigt es sich, auf die weiteren Ausführungen in der Beschwerde noch näher einzugehen, da sie am Ergebnis nichts zu ändern vermögen.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dessen Kosten dem Beschwerdeführer aufzuerlegen (Art. 63 Abs. 1 und 5 VwVG) und auf insgesamt Fr. 600.-- festzusetzen (Art. 1 - 3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