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D-4874/2009 vom 16. November 2009</w:t>
      </w:r>
    </w:p>
    <w:p>
      <w:r>
        <w:t>Bundesverwaltungsgericht, 2009-11-16, IT</w:t>
      </w:r>
    </w:p>
    <w:p>
      <w:r>
        <w:rPr>
          <w:b/>
        </w:rPr>
        <w:t xml:space="preserve">Quelle: </w:t>
      </w:r>
      <w:r>
        <w:t>https://mcp.opencaselaw.ch/entscheid/bvger_D-4874_2009</w:t>
      </w:r>
    </w:p>
    <w:p>
      <w:r>
        <w:t>FR: TAF D-4874/2009 du 16 novembre 2009</w:t>
      </w:r>
    </w:p>
    <w:p>
      <w:r>
        <w:t>IT: TAF D-4874/2009 del 16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L'anticipo, di CHF 600.-, versato il 19 agosto 2009, è computato con le spese processuali.</w:t>
      </w:r>
    </w:p>
    <w:p>
      <w:r>
        <w:rPr>
          <w:b/>
        </w:rPr>
        <w:t>E. 3</w:t>
      </w:r>
    </w:p>
    <w:p>
      <w:r>
        <w:t>Comunicazione a: ricorrente (plico raccomandato) UFM, Divisione soggiorno (in copia; n. di rif. N [...]; allegato: incarto UFM) Q._______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