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D-4872/2008 vom 29. März 2010</w:t>
      </w:r>
    </w:p>
    <w:p>
      <w:r>
        <w:t>Bundesverwaltungsgericht, 2010-03-29, FR</w:t>
      </w:r>
    </w:p>
    <w:p>
      <w:r>
        <w:rPr>
          <w:b/>
        </w:rPr>
        <w:t xml:space="preserve">Quelle: </w:t>
      </w:r>
      <w:r>
        <w:t>https://mcp.opencaselaw.ch/entscheid/bvger_D-4872_2008</w:t>
      </w:r>
    </w:p>
    <w:p>
      <w:r>
        <w:t>FR: TAF D-4872/2008 du 29 mars 2010</w:t>
      </w:r>
    </w:p>
    <w:p>
      <w:r>
        <w:t>IT: TAF D-4872/2008 del 29 marzo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l'exécution du renvoi peuvent être contestées devant le Tribunal conformément à l'art. 105 de la loi sur l'asile du 26 juin 1998 (LAsi, RS 142.31).</w:t>
      </w:r>
    </w:p>
    <w:p>
      <w:r>
        <w:rPr>
          <w:b/>
        </w:rPr>
        <w:t>E. 1.2</w:t>
      </w:r>
    </w:p>
    <w:p>
      <w:r>
        <w:t>La recourante a qualité pour recourir (art. 48 al. 1 PA). Présenté dans la forme (art. 52 PA) et le délai prescrits par la loi (art. 108 al. 1 LAsi),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(Arrêt du Tribunal fédéral [ATF] 127 I 133 consid. 6, ATF 124 II 1 consid. 3a et ATF 120 Ib 42 consid. 2b ;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 ss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 ss).</w:t>
      </w:r>
    </w:p>
    <w:p>
      <w:r>
        <w:rPr>
          <w:b/>
        </w:rPr>
        <w:t>E. 3.1</w:t>
      </w:r>
    </w:p>
    <w:p>
      <w:r>
        <w:t>En l'occurrence, la recourante demande au Tribunal d'annuler la décision de l'ODM du 30 juin 2008, rejetant sa demande de réexamen contre la décision du 13 novembre 2003, et d'annuler la décision de renvoi de Suisse au motif que celui-ci n'est pas raisonnablement exigible, au vu de son état de santé et celui de sa fille. Un rapport de suivi psychologique de novembre 2003 avait été invoqué à l'appui du recours du 15 décembre 2003, mais celui-ci ne faisait que résumer les événements allégués par la recourante, qui était arrivée en Suisse "sous le choc physique et psychique des traumatismes subis". Ce document établissait qu'elle souffrait de troubles du sommeil et de la concentration, ainsi que d'une profonde tristesse. Le rapport médical du 28 mai 2008 apporte des éléments nouveaux en comparaison de celui de novembre 2003, puisque les maux dont souffre la patiente ont pu être diagnostiqués et un suivi, tant psychologique que médicamenteux, instauré.</w:t>
      </w:r>
    </w:p>
    <w:p>
      <w:r>
        <w:rPr>
          <w:b/>
        </w:rPr>
        <w:t>E. 3.2</w:t>
      </w:r>
    </w:p>
    <w:p>
      <w:r>
        <w:t>Dès lors, il convient d'apprécier si les éléments nouveaux sont suffisants pour admettre l'existence d'un changement notable de circonstances, justifiant la modification de la décision prise au terme de la procédure ordinaire. Autrement dit, il convient d'apprécier si les nouveaux éléments invoqués concernant l'état de santé de la recourante démontrent que désormais, elle et sa fille seraient concrètement en danger en cas d'exécution du renvoi.</w:t>
      </w:r>
    </w:p>
    <w:p>
      <w:r>
        <w:rPr>
          <w:b/>
        </w:rPr>
        <w:t>E. 4</w:t>
      </w:r>
    </w:p>
    <w:p>
      <w:r>
        <w:t>L'exécution du renvoi est réglée par l'art. 83 de la loi fédérale du 16 décembre 2005 sur les étrangers (LEtr, RS 142.20), loi entrée en vigueur le 1er janvier 2008. A teneur de cette disposition, l'exécution du renvoi doit être possible (art. 83 al. 2 LEtr), licite (art. 83 al. 3 LEtr) et raisonnablement exigible (art. 83 al. 4 LEtr). Ces empêchements sont de nature alternative, c'est-à-dire qu'il suffit que l'un d'eux soit réalisé pour que le renvoi soit inexécutable (JICRA 2006 n° 6 consid. 4.2 p. 54 ss). En l'occurrence, c'est sur la question de l'exigibilité de l'exécution du renvoi que l'autorité de céans entend porter son examen, ainsi que la recourante l'a invoqué dans son recours.</w:t>
      </w:r>
    </w:p>
    <w:p>
      <w:r>
        <w:rPr>
          <w:b/>
        </w:rPr>
        <w:t>E. 5.1</w:t>
      </w:r>
    </w:p>
    <w:p>
      <w:r>
        <w:t>Selon l'art. 83 al. 4 LEtr, l'exécution du renvoi peut ne pas être raisonnablement exigée si le renvoi de l'intéressé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En second lieu, cette base légale s'applique aux personnes pour qui un retour reviendrait à les mettre concrètement en danger, notamment parce qu'elles ne pourraient plus recevoir les soins dont elles ont besoin, à savoir les soins essentiels garantissant des conditions minimales d'existence (JICRA 1999 n° 28 p. 170 ss et jurisprudence citée ; JICRA 1998 n° 22 p. 191 ss).</w:t>
      </w:r>
    </w:p>
    <w:p>
      <w:r>
        <w:rPr>
          <w:b/>
        </w:rPr>
        <w:t>E. 5.2</w:t>
      </w:r>
    </w:p>
    <w:p>
      <w:r>
        <w:t>Il est notoire que le Cameroun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5.3</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ss et 87).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(JICRA 2003 n° 24 consid. 5b p. 157 ss).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5.3.1</w:t>
      </w:r>
    </w:p>
    <w:p>
      <w:r>
        <w:t>En l'espèce, s'agissant de l'état de santé de la recourante, il ressort du dernier rapport médical établi qu'elle souffre d'une modification durable de la personnalité après une expérience de catastrophe (CIM 10, F 62.0), d'un trouble dépressif récurrent avec épisode actuel moyen (CIM 10, F 33.1) et d'un trouble panique (CIM 10, F 41.0). Selon les définitions de la classification CIM 10, une modification durable de la personnalité peut être provoquée par l'exposition à un facteur intense de stress catastrophique. Peuvent constituer une expérience de catastrophe, par exemple, une captivité prolongée avec un risque d'être tué à tout moment, des désastres, une expérience de camp de concentration, une exposition prolongée à des situations représentant un danger vital, comme le fait d'être victime du terrorisme ou la torture. En l'espèce, les déclarations de la recourante quant à l'événement à l'origine de sa demande d'asile, à savoir son enlèvement du 20 juin 2003, durant lequel elle aurait été maltraitée et violée, puis sa libération cinq jours plus tard, ont été considérées par l'ODR comme invraisemblables (cf. décision du 13 novembre 2003). Cette décision sur ce point est entrée en force et exécutoire et ne peut donc pas être remise en cause. Partant, le Tribunal estime que l'événement invoqué ne peut pas être à l'origine de son atteinte et de ce diagnostic. La recourante a allégué souffrir d'un trouble panique, c'est-à-dire d'attaques récurrentes d'anxiété sévère imprévisibles (CIM 10, F 41.0). En général, les symptômes sont la survenue brutale de palpitations, de douleurs thoraciques, de sensations d'étouffement, d'étourdissements et de sentiments d'irréalité. Il existe aussi souvent une peur secondaire de mourir ou de perdre le contrôle de soi. Selon la norme CIM 10 précitée, on ne doit pas faire un diagnostic principal de trouble panique quand le sujet présente un trouble dépressif au moment de la survenue des attaques de panique; les attaques de panique sont, dans ce cas, probablement secondaires à la dépression. Partant, la recourante souffrant également d'un trouble dépressif récurrent, il n'est pas exclu que le trouble panique ne soit qu'une des conséquences de l'état dépressif. Dès lors, le diagnostic de trouble panique ne constitue pas une atteinte supplémentaire à l'état de santé de la recourante. La patiente bénéficie d'un traitement médicamenteux très léger, puisqu'un seul médicament lui est prescrit, à savoir le Cipralex. Celui-ci est utilisé, selon le Compendium suisse des médicaments, pour traiter la dépression dans sa phase initiale et dans le cadre d'un traitement d'entretien pour prévenir les rechutes. Ainsi, la recourante étant sous Cipralex depuis 2008 et jusqu'à ce jour, la phase initiale de la dépression est dépassée et le médicament est donc prescrit dans le cadre d'un traitement d'entretien. Tant pour le traitement de la dépression que des troubles paniques, la dose maximale de 20 mg par jour n'est pas prescrite à la patiente, qui doit prendre 10 mg par jour (cf. rapport médical daté du 19 janvier 2009 [recte: 2010]). Selon le Compendium, le traitement d'une dépression devrait durer au moins six moins, mais en cas de dépression récidivante, un traitement d'entretien de plus longue durée peut s'avérer nécessaire, afin d'éviter la survenue de nouveaux épisodes dépressifs, ce qui semble être le cas en l'espèce. Toutefois, il n'est nullement mentionné que le traitement doit être poursuivi à vie et il sied de relever que le médicament Cipralex est disponible au Cameroun (cf. rapport de l'Organisation suisse d'aide aux réfugiés (OSAR) du 10 juin 2004 intitulé "Kamerun: Behandelbarbeit von Depressionen", p. 4). Le Compendium précise qu'un suivi est important au début du traitement au Cipralex, en cas de modification de la posologie ou en cas d'interruption du traitement. Or, la recourante prend ce médicament depuis bientôt deux ans, avec une posologie identique et sans discontinuité, ce qui démontre qu'elle le supporte bien. Les médecins ont d'ailleurs jugé son état stationnaire et ont émis un pronostic favorable, en cas de continuation du traitement. Partant, le suivi dont bénéficie l'intéressée en Suisse n'apparaît pas comme étant une nécessité absolue dans son cas.</w:t>
      </w:r>
    </w:p>
    <w:p>
      <w:r>
        <w:rPr>
          <w:b/>
        </w:rPr>
        <w:t>E. 5.4</w:t>
      </w:r>
    </w:p>
    <w:p>
      <w:r>
        <w:t>En conséquence, la recourante ne souffre pas de troubles de la santé d'une gravité telle que l'absence éventuelle d'une psychothérapie dans son pays, telle que celle dont elle bénéficie en Suisse, puisse engendrer chez elle une mise en danger concrète et une dégradation rapide de son état de santé (cf. JICRA 2003 n° 24). Le Tribunal considère, à l'instar de l'ODM, que la recourante a tardé à bénéficier des soins à sa disposition en Suisse, puisqu'elle a consulté pour la première fois en 2005, soit deux ans après son arrivée en Suisse, mais n'a réellement entrepris une thérapie qu'à partir de 2008, ce qui démontre encore que ses atteintes n'avaient pas besoin d'être traitées dans l'immédiat et ne sont pas d'une gravité pouvant faire obstacle à l'exécution de son renvoi. Par ailleurs, elle est en mesure, malgré les problèmes de santé allégués, d'exercer une activité lucrative. Ainsi, il apparaît, au vu des considérants qui précèdent, qu'un éventuel éloignement géographique d'un centre hospitalier traitant de problèmes psychiatriques autrement plus conséquents n'est pas déterminant, d'autant moins qu'elle pourra se procurer son médicament. Cette appréciation n'est d'ailleurs pas susceptible d'être mise en cause par le contenu des rapports médicaux produits. Dans ce contexte, il apparaît qu'un retour dans son pays est manifestement compatible avec son état de santé.</w:t>
      </w:r>
    </w:p>
    <w:p>
      <w:r>
        <w:rPr>
          <w:b/>
        </w:rPr>
        <w:t>E. 5.5</w:t>
      </w:r>
    </w:p>
    <w:p>
      <w:r>
        <w:t>Concernant la fille de la recourante, rien ne démontre, en l'absence de tout rapport médical tendant à l'établir, qu'elle souffrirait effectivement en raison des problèmes de santé de sa mère. Par ailleurs, elle n'est pas suivie personnellement par un spécialiste et le dernier rapport médical daté du 19 janvier 2009 [recte: 2010] ne mentionne plus qu'elle prendrait toujours part aux séances de psychothérapie de sa mère. Dès lors, le Tribunal considère qu'aucun motif d'ordre médical ne fait obstacle à l'exécution de son renvoi.</w:t>
      </w:r>
    </w:p>
    <w:p>
      <w:r>
        <w:rPr>
          <w:b/>
        </w:rPr>
        <w:t>E. 5.6</w:t>
      </w:r>
    </w:p>
    <w:p>
      <w:r>
        <w:t>L'autorité de céans relève que la recourante est au bénéfice d'une formation universitaire d'infirmière et d'une expérience professionnelle de trois ans dans le commerce. En outre, elle avait suffisamment de moyens financiers pour payer les études de son frère. Elle a également déclaré envoyer régulièrement de l'argent depuis la Suisse à son fils, lorsqu'il était au Cameroun. Lors de son arrivée en Suisse en 2003, l'intéressée a affirmé avoir ses deux soeurs, ainsi que trois de ses quatre frères à Yaoundé, où elle avait elle-même vécu durant les deux années qui ont précédé son départ. Or, la recourante n'a pas établi que la plupart d'entre eux se seraient réinstallés à C._______ et donc qu'elle ne pourrait pas retourner elle-même à Yaoundé. Si sa famille est effectivement à C._______, elle pourra alors compter sur ses nombreux membres pour l'aider à se réinstaller dans sa ville d'origine. L'atteinte à sa santé n'apparaissant pas grave pour les motifs relevés précédemment, elle est considérée comme capable de reprendre son activité lucrative, étant rappelé qu'elle en a exercé une en Suisse durant quelques mois. Partant, il n'est pas établi qu'en cas de retour au Cameroun, elle serait dépourvue de moyens d'existence suffisants pour obtenir des soins. La recourante pourra, en outre, en cas de besoin, présenter à l'ODM une demande motivée d'aide au retour au sens de l'art. 93 LAsi, rapports médicaux à l'appui, et en particulier d'aide individuelle telle que prévue à l'al. 1 let. d de cette disposition et aux art. 73 ss de l'ordonnance 2 du 11 août 1999 sur l'asile relative au financement (OA 2, RS 142.312) en vue d'obtenir, pour un laps de temps convenable, une prise en charge des soins médicaux.</w:t>
      </w:r>
    </w:p>
    <w:p>
      <w:r>
        <w:rPr>
          <w:b/>
        </w:rPr>
        <w:t>E. 5.7</w:t>
      </w:r>
    </w:p>
    <w:p>
      <w:r>
        <w:t>Tel que découlant de l'art. 3 al. 1 de la Convention relative aux droits de l'enfant du 20 novembre 1989 (CDE, RS 0.107), le principe de l'intérêt supérieur de l'enfant ne fonde pas en soi un droit à une autorisation de séjour, respectivement à une admission provisoire déductible en justice (cf. notamment ATF 126 II 377, ATF 124 II 361).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dans ce sens JICRA 2006 n° 13 consid. 3.5. p. 143 ; JICRA 1998 n° 31 consid. 8c ff bbb). De telles difficultés ont été notamment reconnues pour des enfants scolarisés et des adolescents ayant passé la plupart de leur vie en Suisse. Il n'en demeure pas moins que le bien de l'enfant revêt une certaine importance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est un élément parmi d'autres, qui doit être pris en compte dans l'analyse de l'exigibilité de l'exécution du renvoi (Arrêt du Tribunal administratif fédéral [ATAF] 2009/28 consid. 9.3.2 p. 367s ; cf. JICRA 2006 n ° 13 consid. 3.5).</w:t>
      </w:r>
    </w:p>
    <w:p>
      <w:r>
        <w:rPr>
          <w:b/>
        </w:rPr>
        <w:t>E. 5.7.1</w:t>
      </w:r>
    </w:p>
    <w:p>
      <w:r>
        <w:t>En l'occurrence, la fille de la recourante est arrivée en Suisse en 2003 à l'âge de 6 ans et a été scolarisée jusqu'à ce jour, âgée alors de 12 ans et demi. Dès lors, cette enfant a commencé à s'intégrer dans la réalité quotidienne suisse, ainsi qu'en attestent les différentes attestations déposées, mais un retour forcé ne constituera pas forcément un déracinement pour un enfant de cet âge. L'on peut considérer que la fréquentation de classes enfantines et primaires en Suisse, pendant près de cinq ou six ans, si déterminante soit-elle pour le développement de sa personnalité en général et pour sa socialisation en particulier, n'implique pas encore une intégration à un milieu socioculturel déterminé si profonde et irréversible impliquant que l'obligation de s'adapter à un autre environnement équivaudrait à un véritable déracinement. De fait, l'expérience enseigne qu'un mineur de l'âge de l'intéressée est en général encore influencé par ses parents et que, sauf si ceux-ci ont vécu longtemps en Suisse et s'y sont parfaitement intégrés, leur emprise ira souvent dans le sens du maintien d'une certaine continuité avec le milieu socio-culturel d'origine (comp. ATF de la 2ème cour de droit public du 21 novembre 1995 in Plaidoyer 2/1996 p. 61 ; cf. arrêt non-publié du Tribunal administratif fédéral E-3391/2006 du 31 août 2009 consid. 10.4). En l'espèce, compte tenu de la durée et de l'âge de l'enfant, il est permis de conclure que son intégration n'est pas encore à un stade particulièrement avancé et qu'elle dépend encore fortement de sa mère, qui n'a pas établi être particulièrement bien intégrée en Suisse. En effet, celle-ci n'exerce plus d'activité lucrative depuis plusieurs mois et est entièrement assistée financièrement. Ainsi, l'intégration de sa fille dans le milieu scolaire du pays d'origine ne devrait pas présenter une difficulté insurmontable et elle devrait, après d'éventuelles difficultés initiales, pouvoir s'adapter.</w:t>
      </w:r>
    </w:p>
    <w:p>
      <w:r>
        <w:rPr>
          <w:b/>
        </w:rPr>
        <w:t>E. 5.8</w:t>
      </w:r>
    </w:p>
    <w:p>
      <w:r>
        <w:t>Pour ces motifs, l'exécution du renvoi doit être considérée comme raisonnablement exigible et il ne se justifie pas de prononcer une mesure de substitution à l'exécution du renvoi.</w:t>
      </w:r>
    </w:p>
    <w:p>
      <w:r>
        <w:rPr>
          <w:b/>
        </w:rPr>
        <w:t>E. 6</w:t>
      </w:r>
    </w:p>
    <w:p>
      <w:r>
        <w:t>Il s'ensuit que le prononcé du 30 juin 2008, par lequel l'ODM a rejeté la demande de réexamen de la décision de l'ODR d'exécution du renvoi du 13 novembre 2003, est confirmé.</w:t>
      </w:r>
    </w:p>
    <w:p>
      <w:r>
        <w:rPr>
          <w:b/>
        </w:rPr>
        <w:t>E. 7.1</w:t>
      </w:r>
    </w:p>
    <w:p>
      <w:r>
        <w:t>L'assistance judiciaire partielle a été octroyée à la recourante par décision incidente du 28 juillet 2008. Il n'est donc pas perçu de frais de procédure (art. 65 al. 1 PA).</w:t>
      </w:r>
    </w:p>
    <w:p>
      <w:r>
        <w:rPr>
          <w:b/>
        </w:rPr>
        <w:t>E. 7.2</w:t>
      </w:r>
    </w:p>
    <w:p>
      <w:r>
        <w:t>La recourante succombe et il n'y a dès lors pas lieu de lui allouer de dépens (cf. art. 64 al. 1 PA et 7 al.1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