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D-4871/2009 vom 17. August 2009</w:t>
      </w:r>
    </w:p>
    <w:p>
      <w:r>
        <w:t>Bundesverwaltungsgericht, 2009-08-17, DE</w:t>
      </w:r>
    </w:p>
    <w:p>
      <w:r>
        <w:rPr>
          <w:b/>
        </w:rPr>
        <w:t xml:space="preserve">Quelle: </w:t>
      </w:r>
      <w:r>
        <w:t>https://mcp.opencaselaw.ch/entscheid/bvger_D-4871_2009</w:t>
      </w:r>
    </w:p>
    <w:p>
      <w:r>
        <w:t>FR: TAF D-4871/2009 du 17 août 2009</w:t>
      </w:r>
    </w:p>
    <w:p>
      <w:r>
        <w:t>IT: TAF D-4871/2009 del 17 agosto 2009</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 i.V.m. Art. 31-34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Die Beschwerdeführenden sind durch die angefochtene Verfügung besonders berührt und haben ein schutzwürdiges Interesse an deren Aufhebung. Sie sind damit zur Einreichung der Beschwerde legitimiert (Art. 48 Abs. 1 VwVG).</w:t>
      </w:r>
    </w:p>
    <w:p>
      <w:r>
        <w:rPr>
          <w:b/>
        </w:rPr>
        <w:t>E. 2.2</w:t>
      </w:r>
    </w:p>
    <w:p>
      <w:r>
        <w:t>Im vorinstanzlichen Aktendossier sind keinerlei Angaben dazu enthalten, zu welchem Zeitpunkt die vom 26. Mai 2009 datierende Verfügung des BFM den Beschwerdeführenden eröffnet wurde. Die Beschwerdeführenden selbst machen durch ihren Rechtsvertreter geltend, die angefochtene Verfügung sei ihnen am 28. Juli 2009 eröffnet worden. Der Umstand, dass die Beschwerdeführerin am 29. Juli 2009 nach Malta ausgeschafft worden ist, bildet ein gewisses Indiz für die Richtigkeit dieser Angabe. Indessen ist ohnehin festzuhalten, dass die Beweislast für die erfolgte Zustellung und deren Zeitpunkt die Behörde trägt, welche die Zustellung veranlasst hat (vgl. Felix Uhlmann/Alexandra Schwank, in: Bernhard Waldmann/Philippe Weissenberger [Hrsg.], Praxiskommentar VwVG, Zürich/Basel/Genf 2009, Art. 34, N 10). Somit ist im vorliegenden Fall davon auszugehen, dass die angefochtene Verfügung den Beschwerdeführenden am 28. Juli 2009 eröffnet wurde. Die Beschwerde wurde nach dem Gesagten innert der gesetzlichen Frist (Art. 108 Abs. 2 und 5 AsylG) beim Bundesverwaltungsgericht erhoben. Auf die im Übrigen formgerecht eingereichte Beschwerde ist somit einzutreten (Art. 6 AsylG i.V.m. Art. 48 Abs. 1, Art. 50 und 52 VwVG).</w:t>
      </w:r>
    </w:p>
    <w:p>
      <w:r>
        <w:rPr>
          <w:b/>
        </w:rPr>
        <w:t>E. 3.1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3.2</w:t>
      </w:r>
    </w:p>
    <w:p>
      <w:r>
        <w:t>Gestützt auf Art. 111a Abs. 1 AsylG wird auf einen Schriftenwechsel verzichtet.</w:t>
      </w:r>
    </w:p>
    <w:p>
      <w:r>
        <w:rPr>
          <w:b/>
        </w:rPr>
        <w:t>E. 4</w:t>
      </w:r>
    </w:p>
    <w:p>
      <w:r>
        <w:t>Im vorliegenden Fall besteht Anlass zur Frage, ob die Vorinstanz im Rahmen der angefochtenen Verfügung ihren Pflichten hinreichend nachgekommen ist, die sich aus dem Anspruch der Beschwerdeführenden auf rechtliches Gehör ergeben.</w:t>
      </w:r>
    </w:p>
    <w:p>
      <w:r>
        <w:rPr>
          <w:b/>
        </w:rPr>
        <w:t>E. 4.1.1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4.1.2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 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Auer/Malinverni/ Hottelier, a.a.O., S. 611 ff.; Reinhold Hotz, St. Galler Kommentar zu Art. 29 BV, Rz. 34 ff.; Kölz/Häner, a.a.O., S. 119; Schefer, a.a.O., S. 300 ff.).</w:t>
      </w:r>
    </w:p>
    <w:p>
      <w:r>
        <w:rPr>
          <w:b/>
        </w:rPr>
        <w:t>E. 4.2</w:t>
      </w:r>
    </w:p>
    <w:p>
      <w:r>
        <w:t>Es ist festzustellen, dass der angefochtene Entscheid des BFM diesen Kriterien offensichtlich nicht gerecht wird. Die Beschwerdeführerin hat zweimal - am 18. Mai 2009 mündlich sowie mit schriftlicher Eingabe vom 9. Juli 2009 - gegenüber dem Bundesamt die Mitteilung gemacht, ihr Ehemann, der eritreische Staatsangehörige D._______ H._______, lebe in der Schweiz, wie sie in der Zwischenzeit erfahren habe. Mit der erwähnten schriftlichen Eingabe teilte die Beschwerdeführerin dem Bundesamt ausserdem mit, sie sei schwanger, wobei der Genannte der Vater sei. Es liegt auf der Hand, dass diese Angaben durch das BFM im Rahmen der angefochtenen Verfügung, mit welcher die Wegweisung der Beschwerdeführerin nach Malta und der entsprechende Vollzug angeordnet wurden, zu berücksichtigen gewesen wären. In diesem Zusammenhang ist festzuhalten, dass die verfügende Behörde verpflichtet ist, wesentliche Äusserungen der betroffenen Person tatsächlich zur Kenntnis zu nehmen und sich damit in der Entscheidfindung und -begründung sachgerecht auseinanderzusetzen (Bernhard Waldmann/Jürg Bickel, in: Bernhard Waldmann/Philippe Weissenberger [Hrsg.], Praxiskommentar VwVG, Zürich/Basel/Genf 2009, Art. 30, N 5; vgl. ausserdem Bernhard Waldmann/Jürg Bickel, ebd., Art. 32). In der angefochtenen Verfügung wird weder erwähnt, dass die Beschwerdeführerin die fraglichen Aussagen machte, noch wird auf ihre entsprechenden Vorbringen eingegangen. Somit ist offenkundig, dass das BFM seine Pflicht zur Berücksichtigung der erheblichen Vorbringen der Beschwerdeführerin nicht wahrgenommen und somit deren Anspruch auf rechtliches Gehör verletzt hat.</w:t>
      </w:r>
    </w:p>
    <w:p>
      <w:r>
        <w:rPr>
          <w:b/>
        </w:rPr>
        <w:t>E. 5.1</w:t>
      </w:r>
    </w:p>
    <w:p>
      <w:r>
        <w:t>Nach dem Gesagten ist die Beschwerde insofern gutzuheissen, als damit die Aufhebung der angefochtenen Verfügung beantragt wird, und die Sache ist zur erneuten Beurteilung an die Vorinstanz zurückzuweisen.</w:t>
      </w:r>
    </w:p>
    <w:p>
      <w:r>
        <w:rPr>
          <w:b/>
        </w:rPr>
        <w:t>E. 5.2</w:t>
      </w:r>
    </w:p>
    <w:p>
      <w:r>
        <w:t>Indem der rechtliche und tatsächliche Zustand wiederherzustellen ist, wie er vor dem Erlass der angefochtenen Verfügung bestand, ist der Beschwerdeführerin - die am 29. Juli 2009 nach Malta ausgeschafft wurde - durch das BFM die sofortige Wiedereinreise in die Schweiz zu gestatten. Die entsprechenden Kosten hat das BFM zu tragen.</w:t>
      </w:r>
    </w:p>
    <w:p>
      <w:r>
        <w:rPr>
          <w:b/>
        </w:rPr>
        <w:t>E. 6</w:t>
      </w:r>
    </w:p>
    <w:p>
      <w:r>
        <w:t>Im vorliegenden Fall besteht ausserdem Anlass zu folgenden Ergänzungen.</w:t>
      </w:r>
    </w:p>
    <w:p>
      <w:r>
        <w:rPr>
          <w:b/>
        </w:rPr>
        <w:t>E. 6.1</w:t>
      </w:r>
    </w:p>
    <w:p>
      <w:r>
        <w:t>Die vom 26. Mai 2009 datierende Verfügung des BFM wurde der Beschwerdeführerin erst am 28. Juli 2009 eröffnet. Es ist nicht nachvollziehbar, weshalb zwischen Verfügungs- und Eröffnungsdatum eine derart lange Zeitspanne liegt, zumal gegenüber der Beschwerdeführerin bereits am 4. Juni 2009 mit entsprechender Verfügung des Migrationsdiensts des Kantons Bern die Ausschaffungshaft angeordnet wurde. Dabei erweist sich insbesondere, dass die Anordnung der Ausschaffungshaft nicht unter Beachtung der diesbezüglich geltenden gesetzlichen Bestimmungen erfolgte. Gemäss Art. 76 Abs. 1 AuG kann die zuständige Behörde die betroffene Person zur Sicherstellung des Vollzugs in Haft nehmen (oder i.Vm. Art. 75 AuG in Haft belassen), wenn ein erstinstanzlicher Weg- oder Ausweisungsentscheid eröffnet wurde. Indem die betreffende Verfügung des BFM vom 26. Mai 2009 der Beschwerdeführerin erst am 28. Juli 2009 eröffnet wurde, war diese Voraussetzung zum Zeitpunkt der Anordnung der kantonalen Behörde offensichtlich nicht erfüllt. Im Übrigen wäre auch die für die Inhaftnahme gemäss Art. 76 Abs. 1 Bst. b Ziff. 5 AuG verlangte Voraussetzung nicht erfüllt gewesen, wonach ein auf Art. 34 Abs. 2 Bst. d AsylG gestützter Wegweisungsentscheid in einer Empfangsstelle eröffnet wird: Weder erfolgte die Eröffnung in einer Empfangsstelle, noch wurde die Haft - wie in diesem Fall gesetzlich vorgesehen (Art. 80 Abs. 1 AuG) - durch das Bundesamt angeordnet. Ferner ergeben sich aus den Akten auch keine Hinweise auf das Vorliegen von Gründen, die eine Vorbereitungshaft im Sinne von Art. 75 Abs. 1 AuG rechtfertigen würden. Die Ausschaffungshaft der Beschwerdeführerin wurde somit zu Unrecht angeordnet. Aus den vorinstanzlichen Akten geht nicht hervor, ob die Haftanordnung im Sinne von Art. 80 Abs. 2-4 AuG durch eine richterliche Behörde überprüft wurde.</w:t>
      </w:r>
    </w:p>
    <w:p>
      <w:r>
        <w:rPr>
          <w:b/>
        </w:rPr>
        <w:t>E. 6.2</w:t>
      </w:r>
    </w:p>
    <w:p>
      <w:r>
        <w:t>Des Weiteren ist zu bemerken, dass auch die vom BFM mit Schreiben vom 13. Juli 2009 (das im Übrigen gestützt auf Art. 5 Abs. 1 VwVG als Verfügung zu qualifizieren ist) gegenüber der Beschwerdeführerin als Antwort auf deren Gesuch um Wechsel des Zuweisungskantons geäusserte Ansicht offensichtlich nicht zutrifft, sie vermöge einen Anspruch auf Zusammenführung aufgrund der Einheit der Familie erst dann geltend zu machen, wenn ihr Ehemann die Vaterschaft des gemeinsamen, noch ungeborenen Kindes anerkannt haben werde. Es genügt, in diesem Zusammenhang auf den unmissverständlichen Wortlaut des vom Bundesamt zitierten Art. 1a Bst. e AsylV 1 hinzuweisen, wonach als Familie im Sinne der Bestimmung Ehegatten und deren minderjährige Kinder gelten.</w:t>
      </w:r>
    </w:p>
    <w:p>
      <w:r>
        <w:rPr>
          <w:b/>
        </w:rPr>
        <w:t>E. 7.1</w:t>
      </w:r>
    </w:p>
    <w:p>
      <w:r>
        <w:t>Bei diesem Ausgang des Verfahrens sind keine Kosten zu erheben (Art. 63 Abs. 3 VwVG i.V.m. Art. 37 VGG). Das mit der Beschwerdeschrift gestellte Gesuch um Gewährung der unentgeltlichen Rechtspflege im Sinne von Art. 65 Abs. 1 VwVG erweist sich somit als gegenstandslos.</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die in der Beschwerdeschrift erwähnte, angesichts des Aufwandes als angemessen erscheinende Honorarforderung des Rechtsvertreters sind den Beschwerdeführenden Fr. 460.-- (inkl. Auslagen und Mehrwertsteuer) als Parteientschädigung zuzusprechen.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