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D-4865/2022 vom 2. November 2022</w:t>
      </w:r>
    </w:p>
    <w:p>
      <w:r>
        <w:t>Bundesverwaltungsgericht, 2022-11-02, FR</w:t>
      </w:r>
    </w:p>
    <w:p>
      <w:r>
        <w:rPr>
          <w:b/>
        </w:rPr>
        <w:t xml:space="preserve">Quelle: </w:t>
      </w:r>
      <w:r>
        <w:t>https://mcp.opencaselaw.ch/entscheid/bvger_D-4865_2022</w:t>
      </w:r>
    </w:p>
    <w:p>
      <w:r>
        <w:t>FR: TAF D-4865/2022 du 2 novembre 2022</w:t>
      </w:r>
    </w:p>
    <w:p>
      <w:r>
        <w:t>IT: TAF D-4865/2022 del 2 novembre 2022</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w:t>
      </w:r>
    </w:p>
    <w:p>
      <w:r>
        <w:rPr>
          <w:b/>
        </w:rPr>
        <w:t>E. 1.4</w:t>
      </w:r>
    </w:p>
    <w:p>
      <w:r>
        <w:t>L'intéressée a qualité pour recourir (art. 48 al. 1 PA). Interjeté dans la forme (art. 52 al. 1 PA) et le délai (art. 108 al. 3 LAsi) prescrits par la loi, son recours est recevable.</w:t>
      </w:r>
    </w:p>
    <w:p>
      <w:r>
        <w:rPr>
          <w:b/>
        </w:rPr>
        <w:t>E. 2</w:t>
      </w:r>
    </w:p>
    <w:p>
      <w:r>
        <w:t>Il convient d'examiner en premier lieu les griefs formels soulevés par la recourante, ceux-ci étant susceptibles d'entraîner l'annulation de la décision attaquée indépendamment des chances de succès du recours sur le fond (cf. ATF 144 I 11 consid. 5.3, et la jurisprudence citée ; ATAF 2019 VII/6 consid. 4.1 ; 2013/34 consid. 4.2 ; 2013/23 consid. 6.1.3 ; 2010/35 consid. 4.1.1, et la jurisprudence citée).</w:t>
      </w:r>
    </w:p>
    <w:p>
      <w:r>
        <w:rPr>
          <w:b/>
        </w:rPr>
        <w:t>E. 2.1</w:t>
      </w:r>
    </w:p>
    <w:p>
      <w:r>
        <w:t>La recourante a fait préliminairement valoir que le SEM aurait violé son droit d'être entendu pour défaut d'instruction et de motivation.</w:t>
      </w:r>
    </w:p>
    <w:p>
      <w:r>
        <w:rPr>
          <w:b/>
        </w:rPr>
        <w:t>E. 2.1.1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La maxime inquisitoire doit cependant être relativisée par son corollaire, le devoir de collaboration de la partie à l'établissement des faits (art. 8 LAsi et art. 13 PA, applicable par renvoi de l'art. 6 LAsi ; cf. ATAF 2015/10 consid. 3.2, 2012/21 consid. 5.1 ;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cf. arrêt du Tribunal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w:t>
      </w:r>
    </w:p>
    <w:p>
      <w:r>
        <w:rPr>
          <w:b/>
        </w:rPr>
        <w:t>E. 2.1.2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2.1.3</w:t>
      </w:r>
    </w:p>
    <w:p>
      <w:r>
        <w:t>D'abord, doit d'emblée être écarté le grief selon lequel la motivation du SEM serait lacunaire, voire inexacte (cf. le recours, p. 6, let. a), dans la mesure où la recourante n'avance aucun argument sur ce point. Au demeurant, elle prête au SEM une argumentation (« les motifs d'ordre personnel que vous invoquez, ces derniers ne peuvent être pris en considération, ne faisant pas partie des critères de détermination du Règlement Dublin ») qui ne ressort nullement de la décision dont est recours.</w:t>
      </w:r>
    </w:p>
    <w:p>
      <w:r>
        <w:rPr>
          <w:b/>
        </w:rPr>
        <w:t>E. 2.1.4</w:t>
      </w:r>
    </w:p>
    <w:p>
      <w:r>
        <w:t>Ensuite, la recourante a fait valoir que l'autorité intimée aurait instruit de manière insuffisante les faits pertinents relatifs aux mauvais traitements qu'elle aurait subis en Croatie et à sa situation dans ce pays (cf. le recours, p. 6, let. b). Elle lui reproche également, dans l'appréciation des éventuelles défaillances systémiques du système d'accueil et d'asile croate, de se référer, notamment, à des sources d'information générale, à des clarifications de l'ambassade de Suisse en Croatie et à des entretiens avec des ONG et des représentants du ministère croate de l'intérieur. Force est de constater que la recourante a eu tout loisir de s'exprimer sur son séjour en Croatie et les violences qu'elle y aurait subies, ce qu'elle a d'ailleurs fait. Tout défaut d'instruction sur ce point peut donc être écarté. Par ailleurs, la recourante ne saurait se prévaloir valablement de l'arrêt du Tribunal F-5675/2021 du 6 janvier 2022 cité dans le recours (p. 7), dans la mesure où les autorités croates avaient accepté de prendre en charge (anglais : take charge) le requérant sur la base de l'art. 13 par. 1 RD III, et non de le reprendre en charge (anglais : take back), comme en l'espèce (cf. infra, consid. 3.6, 4.2 et 4.3). Il ne saurait en outre être exigé des autorités administratives, qui sont appelées à rendre de nombreuses décisions, qu'elles les motivent de façon aussi développée qu'une autorité de recours. Dans ce contexte, l'utilisation de paragraphes standardisés est admissible, à la condition que l'argumentation juridique de l'autorité soit pertinente et appropriée et qu'elle permette au recourant de saisir son raisonnement et, le cas échéant, d'attaquer utilement la décision, ce qui est le cas en l'espèce (cf. arrêt du Tribunal F-1532/2022 du 8 avril 2022 consid. 3.3.1 et jurisp. cit.). Pour le surplus, les griefs formels invoqués se confondent avec ceux sur le fond et seront donc examinés plus loin.</w:t>
      </w:r>
    </w:p>
    <w:p>
      <w:r>
        <w:rPr>
          <w:b/>
        </w:rPr>
        <w:t>E. 2.1.5</w:t>
      </w:r>
    </w:p>
    <w:p>
      <w:r>
        <w:t>Enfin, les autorités croates compétentes ont accepté, le 27 septembre 2022, de reprendre en charge la recourante sur la base de l'art. 18 par. 1 let. b RD III, et non sur la base de l'art. 20 par. 5 RD III comme indiqué dans le recours (p. 8, let. c). Dans ces conditions, la recourante ne peut valablement reprocher au SEM de ne pas avoir effectué les démarches nécessaires auprès des autorités croates, afin que celles-ci offrent des garanties suffisantes en ce qui concerne l'examen de sa demande d'asile.</w:t>
      </w:r>
    </w:p>
    <w:p>
      <w:r>
        <w:rPr>
          <w:b/>
        </w:rPr>
        <w:t>E. 2.2</w:t>
      </w:r>
    </w:p>
    <w:p>
      <w:r>
        <w:t>Dans ces conditions, les griefs d'ordre formel invoqués par la recourante doivent être rejetés.</w:t>
      </w:r>
    </w:p>
    <w:p>
      <w:r>
        <w:rPr>
          <w:b/>
        </w:rPr>
        <w:t>E. 3.1</w:t>
      </w:r>
    </w:p>
    <w:p>
      <w:r>
        <w:t>Saisi d'un recours contre une décision de non-entrée en matière sur une demande d'asile, le Tribunal se limite à examiner le bien-fondé d'une telle décision (cf. ATAF 2012/4 consid. 2.2 ; 2009/54 consid. 1.3.3 ; 2007/8 consid. 5).</w:t>
      </w:r>
    </w:p>
    <w:p>
      <w:r>
        <w:rPr>
          <w:b/>
        </w:rPr>
        <w:t>E. 3.2</w:t>
      </w:r>
    </w:p>
    <w:p>
      <w:r>
        <w:t>Partant, sortant du cadre du litige, la conclusion du recours tendant à la modification du nom de famille de la recourante est irrecevable. Le SEM n'avait pas non plus, dans le cadre de la présente procédure, à se prononcer sur cette demande de changement d'identité formulée pour la première fois par courrier du 12 septembre 2022. La recourante pourra, si elle le souhaite, engager ultérieurement une procédure de modification des données Symic.</w:t>
      </w:r>
    </w:p>
    <w:p>
      <w:r>
        <w:rPr>
          <w:b/>
        </w:rPr>
        <w:t>E. 3.3</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3.4</w:t>
      </w:r>
    </w:p>
    <w:p>
      <w:r>
        <w:t>Avant de faire application de la disposition précitée, le SEM examine la compétence relative au traitement d'une demande d'asile selon les critères fixés dans le RD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3.5</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3.6</w:t>
      </w:r>
    </w:p>
    <w:p>
      <w:r>
        <w:t>Dans une procédure de reprise en charge (anglais : take back), comme en l'espèce, il n'y a en principe aucun nouvel examen de la compétence selon le chapitre III du RD III (cf. ATAF 2017 VI/5 précité consid. 6.2 et 8.2.1, et réf. cit.).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RD III).</w:t>
      </w:r>
    </w:p>
    <w:p>
      <w:r>
        <w:rPr>
          <w:b/>
        </w:rPr>
        <w:t>E. 4.1</w:t>
      </w:r>
    </w:p>
    <w:p>
      <w:r>
        <w:t>En l'occurrence, comme déjà relevé, les investigations entreprises par le SEM ont révélé, après consultation de l'unité centrale du système européen « Eurodac », que la recourante avait déposé une demande d'asile en Croatie le 25 août 2022.</w:t>
      </w:r>
    </w:p>
    <w:p>
      <w:r>
        <w:rPr>
          <w:b/>
        </w:rPr>
        <w:t>E. 4.2</w:t>
      </w:r>
    </w:p>
    <w:p>
      <w:r>
        <w:t>En date du 14 septembre 2022, le SEM a dès lors soumis aux autorités croates compétentes, dans les délais fixés à l'art. 23 par. 2 RD III, une requête aux fins de reprise en charge, fondée sur l'art. 18 par. 1 let. b RD III.</w:t>
      </w:r>
    </w:p>
    <w:p>
      <w:r>
        <w:rPr>
          <w:b/>
        </w:rPr>
        <w:t>E. 4.3</w:t>
      </w:r>
    </w:p>
    <w:p>
      <w:r>
        <w:t>Les autorités croates ont expressément accepté cette requête en date du 27 septembre 2022, sur la base de la même disposition.</w:t>
      </w:r>
    </w:p>
    <w:p>
      <w:r>
        <w:rPr>
          <w:b/>
        </w:rPr>
        <w:t>E. 4.4</w:t>
      </w:r>
    </w:p>
    <w:p>
      <w:r>
        <w:t>La Croatie est dès lors compétente pour examiner la demande d'asile de l'intéressée, nonobstant le fait que ses empreintes digitales y auraient été prises de force.</w:t>
      </w:r>
    </w:p>
    <w:p>
      <w:r>
        <w:rPr>
          <w:b/>
        </w:rPr>
        <w:t>E. 5.1</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(CCT, RS 0.105). La Croatie est également présumée respecter la sécurité des demandeurs d'asile, en particulier leur droit à l'examen, selon une procédure juste et équitable, de leur demande, et leur garantir une protection conforme au droit international et au droit européen (cf. directive Procédure et directive n° 2013/33/UE du Conseil du 26 juin 2013 relative à des normes minimales pour l'accueil des demandeurs d'asile dans les Etats membres [JO L 180/96 du 29.06.2013 ; ci-après : directive Accueil] ; voir en ce sens arrêts du Tribunal F-3061/2021 du 9 juillet 2021 consid. 5.2 et E-711/2021 du 11 mars 2021 consid. 4.2.1 [transferts Dublin vers la Croatie]).</w:t>
      </w:r>
    </w:p>
    <w:p>
      <w:r>
        <w:rPr>
          <w:b/>
        </w:rPr>
        <w:t>E. 5.3</w:t>
      </w:r>
    </w:p>
    <w:p>
      <w:r>
        <w:t>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w:t>
      </w:r>
    </w:p>
    <w:p>
      <w:r>
        <w:rPr>
          <w:b/>
        </w:rPr>
        <w:t>E. 5.4</w:t>
      </w:r>
    </w:p>
    <w:p>
      <w:r>
        <w:t>Le Tribunal considère, nonobstant les prises de position critiques de plusieurs organismes (notamment le Conseil de l'Europe) en la matière, que le système d'asile et d'accueil croate ne présente pas de défaillances systémiques s'agissant des requérants qui ont déjà déposé une demande de protection internationale en Croatie et qui sont repris en charge par cet Etat dans le cadre d'une procédure Dublin (cf. arrêts du Tribunal E-4367/2022 du 6 octobre 2022 consid. 6.4 ; F-4079/2022 du 23 septembre 2022 consid. 5.5 ; E-2755/2022 du 8 septembre 2022 consid. 5.2.3 et jurisp. cit. ; E-1854/2022 du 1er septembre 2022 consid. 6.4 et jurisp. cit. ; D-3316/2022 du 29 août 2022 ; E-3554/2022 du 25 août 2022 consid. 6.2 et jurisp. cit). La recourante ne peut tirer argument du rapport de l'OSAR du 13 septembre 2022 intitulé « Violences policières en Bulgarie et en Croatie : conséquences pour les transferts Dublin », ni d'autres rapports d'organisations nationales ou internationales (cf. le recours, p. 6, let. b), dans la mesure notamment où elle a pu déposer une demande de protection en Croatie et que cet Etat a expressément accepté de la reprendre en charge sur son territoire.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w:t>
      </w:r>
    </w:p>
    <w:p>
      <w:r>
        <w:rPr>
          <w:b/>
        </w:rPr>
        <w:t>E. 5.5</w:t>
      </w:r>
    </w:p>
    <w:p>
      <w:r>
        <w:t>Par conséquent, l'application de l'art. 3 par. 2 du règlement Dublin III ne se justifie pas en l'espèce.</w:t>
      </w:r>
    </w:p>
    <w:p>
      <w:r>
        <w:rPr>
          <w:b/>
        </w:rPr>
        <w:t>E. 6.1</w:t>
      </w:r>
    </w:p>
    <w:p>
      <w:r>
        <w:t>Pour s'opposer à son transfert vers la Croatie, l'intéressée dit avoir été maltraitée par les policiers croates lors de son interpellation. Enfermée durant un jour et demi sans recevoir de nourriture, elle aurait été contrainte de donner ses empreintes digitales. Ensuite, elle aurait été transférée dans un endroit inconnu, n'y recevant qu'un bout de pain deux jours après son arrivée dans ce lieu. La nuit suivante, elle aurait quitté cet endroit avec d'autres personnes, au vu des conditions d'accueil et de l'absence d'une quelconque prise en charge. L'intéressée a émis de sérieux doutes quant à l'accès dans ce pays à une procédure d'asile équitable et respectueuse de ses droits fondamentaux. Elle devrait être considérée comme particulièrement vulnérable en cas de transfert, eu égard à sa position de femme seule, aux violences subies en Croatie, à l'incertitude quant au traitement de sa demande de protection dans ce pays et aux défaillances systémiques y régnant. A cet égard, elle invoque une violation de l'art. 17 par. 1 RD III en lien, d'une part, avec les art. 3, 13 CEDH, 3 CCT et 2 de la Convention du 18 décembre 1979 sur l'élimination de toutes les formes de discrimination à l'égard des femmes (CEDEF, RS 0.108), d'autre part, avec l'art. 29a al. 3 OA 1.</w:t>
      </w:r>
    </w:p>
    <w:p>
      <w:r>
        <w:rPr>
          <w:b/>
        </w:rPr>
        <w:t>E. 6.2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w:t>
      </w:r>
    </w:p>
    <w:p>
      <w:r>
        <w:rPr>
          <w:b/>
        </w:rPr>
        <w:t>E. 6.3</w:t>
      </w:r>
    </w:p>
    <w:p>
      <w:r>
        <w:t>La recourante n'a pas démontré que sa demande de protection déposée en Croatie ne serait pas traitée conformément aux dispositions légales applicables dans ce pays et à la directive Procédure. Dans son cas, rien ne permet de considérer que les autorités croates refuseraient de mener à terme sa procédure d'asile. Les problèmes soulevés dans le recours concernant la situation générale en Croatie en lien avec la procédure d'asile (cf. supra, consid. 5.4 et 6.1) ne sauraient infléchir ce raisonnement. En outre, la recourante n'a fourni aucun élément susceptible de démontrer que la Croatie ne respecterait pas le principe de non-refoulement et donc faillirait à ses obligations internationales en la renvoyant dans un pays où sa vie, son intégrité corporelle ou sa liberté seraient sérieusement menacées, ou encore d'où elle risquerait d'être astreinte à se rendre dans un tel pays.</w:t>
      </w:r>
    </w:p>
    <w:p>
      <w:r>
        <w:rPr>
          <w:b/>
        </w:rPr>
        <w:t>E. 6.4</w:t>
      </w:r>
    </w:p>
    <w:p>
      <w:r>
        <w:t>L'intéressée, qui n'est restée que quelques jours en Croatie, n'a pas non plus apporté d'indices suffisants qu'elle serait privée durablement, dans cet Etat, des conditions matérielles prévues par la directive Accueil et qu'elle ne pourrait au besoin y faire valoir ses droits. Elle n'a en particulier pas démontré que ses conditions d'existence dans ce pays revêtiraient un tel degré de pénibilité et de gravité qu'elles seraient constitutives d'un traitement contraire à l'art. 3 CEDH ou encore à l'art. 3 CCT (cf. arrêt du Tribunal F-1125/2021 du 19 mars 2021 consid. 4.5). Les rapports cités à l'appui du recours ne sauraient suffire à cet égard. Les mauvais traitements que l'intéressée aurait subis en Croatie ne sont pas étayés. Si la recourante devait toutefois, à l'issue de son transfert en Croatie, être contrainte par les circonstances à mener une existence non conforme à la dignité humaine, ou si elle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en cas de besoin, à la CourEDH (cf. arrêt du Tribunal F-1543/2018 du 19 mars 2018 consid. 6.2 ainsi que art. 26 Directive Accueil).</w:t>
      </w:r>
    </w:p>
    <w:p>
      <w:r>
        <w:rPr>
          <w:b/>
        </w:rPr>
        <w:t>E. 6.5</w:t>
      </w:r>
    </w:p>
    <w:p>
      <w:r>
        <w:t>Enfin, si certaines dispositions de la CEDEF sont considérées en doctrine comme directement applicables (cf. ATF 137 I 305 consid. 3.2 et les références citées), tel n'est pas le cas de son art. 2, qui constitue une norme programmatique à l'attention du législateur national (cf. arrêt du Tribunal E-4622/2022 du 14 octobre 2022 consid. 7.6). La recourante ne saurait donc s'en prévaloir pour s'opposer à son transfert vers la Croatie. Cela dit, elle n'a en rien démontré que son transfert l'exposerait à des formes graves de discrimination ou de violence en raison de sa qualité de femme.</w:t>
      </w:r>
    </w:p>
    <w:p>
      <w:r>
        <w:rPr>
          <w:b/>
        </w:rPr>
        <w:t>E. 6.6</w:t>
      </w:r>
    </w:p>
    <w:p>
      <w:r>
        <w:t>Par conséquent, le transfert de l'intéressée vers la Croatie n'est pas contraire aux obligations découlant de dispositions conventionnelles auxquelles la Suisse est liée.</w:t>
      </w:r>
    </w:p>
    <w:p>
      <w:r>
        <w:rPr>
          <w:b/>
        </w:rPr>
        <w:t>E. 6.7</w:t>
      </w:r>
    </w:p>
    <w:p>
      <w:r>
        <w:t>Il y a en outre lieu de constater que, contrairement à ce que la recourante soutient (cf. le recours, ch. 3, p. 13 ss),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RD III (cf. ATAF 2015/9 consid. 8).</w:t>
      </w:r>
    </w:p>
    <w:p>
      <w:r>
        <w:rPr>
          <w:b/>
        </w:rPr>
        <w:t>E. 6.8</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7</w:t>
      </w:r>
    </w:p>
    <w:p>
      <w:r>
        <w:t>C'est ainsi à bon droit que le SEM n'est pas entré en matière sur la demande d'asile de l'intéressée, en application de l'art. 31a al. 1 let. b LAsi, et a prononcé son transfert de Suisse vers la Croatie, en application de l'art. 44 LAsi. Par conséquent, le recours doit être rejeté.</w:t>
      </w:r>
    </w:p>
    <w:p>
      <w:r>
        <w:rPr>
          <w:b/>
        </w:rPr>
        <w:t>E. 8</w:t>
      </w:r>
    </w:p>
    <w:p>
      <w:r>
        <w:t>S'avérant manifestement infondé, il l'est dans une procédure à juge unique, avec l'approbation d'un second juge (art. 111 let. e LAsi). Il est dès lors renoncé à un échange d'écritures (art. 111a al. 1 LAsi).</w:t>
      </w:r>
    </w:p>
    <w:p>
      <w:r>
        <w:rPr>
          <w:b/>
        </w:rPr>
        <w:t>E. 9.1</w:t>
      </w:r>
    </w:p>
    <w:p>
      <w:r>
        <w:t>Dans la mesure où il est immédiatement statué sur le fond, les demandes tendant à l'octroi de l'effet suspensif et à la dispense du versement d'une avance de frais sont sans objet. Les conclusions du recours étant d'emblée vouées à l'échec, la requête d'assistance judiciaire partielle est rejetée.</w:t>
      </w:r>
    </w:p>
    <w:p>
      <w:r>
        <w:rPr>
          <w:b/>
        </w:rPr>
        <w:t>E. 9.2</w:t>
      </w:r>
    </w:p>
    <w:p>
      <w:r>
        <w:t>Vu l'issue de la cause, il y a lieu de mettre les frais de procédure à la charge de la recourante, conformément à l'art. 63 al. 1 PA et aux art. 2 et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