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D-4860/2023 vom 4. September 2023</w:t>
      </w:r>
    </w:p>
    <w:p>
      <w:r>
        <w:t>Bundesverwaltungsgericht, 2023-09-04, DE</w:t>
      </w:r>
    </w:p>
    <w:p>
      <w:r>
        <w:rPr>
          <w:b/>
        </w:rPr>
        <w:t xml:space="preserve">Quelle: </w:t>
      </w:r>
      <w:r>
        <w:t>https://mcp.opencaselaw.ch/entscheid/bvger_D-4860_2023_d20230904</w:t>
      </w:r>
    </w:p>
    <w:p>
      <w:r>
        <w:t>FR: TAF D-4860/2023 du 4 septembre 2023</w:t>
      </w:r>
    </w:p>
    <w:p>
      <w:r>
        <w:t>IT: TAF D-4860/2023 del 4 settembre 2023</w:t>
      </w:r>
    </w:p>
    <w:p>
      <w:pPr>
        <w:pStyle w:val="Heading2"/>
      </w:pPr>
      <w:r>
        <w:t>Regeste</w:t>
      </w:r>
    </w:p>
    <w:p>
      <w:r>
        <w:t>Nichteintreten auf Asylgesuch und Wegweisung (Dublin-Verfahren - Art. 31a Abs. 1 Bst. b AsylG) | Nichteintreten auf Asylgesuch und Wegweisung (Dublin-Verfahren); Verfügung des SEM vom 4. September 2023</w:t>
      </w:r>
    </w:p>
    <w:p>
      <w:pPr>
        <w:pStyle w:val="Heading2"/>
      </w:pPr>
      <w:r>
        <w:t>Erwägungen</w:t>
      </w:r>
    </w:p>
    <w:p>
      <w:r>
        <w:rPr>
          <w:b/>
        </w:rPr>
        <w:t>E. 31</w:t>
      </w:r>
    </w:p>
    <w:p>
      <w:r>
        <w:t>August 2023 dem Wiederaufnahmeersuchen des SEM vom 17. August 2023 zugestimmt hatten, dass daran auch das Vorbringen des Beschwerdeführers, er habe in Kroa- tien kein Asylgesuch stellen wollen, nichts zu ändern vermag, zumal die daktyloskopische Erfassung von illegal einreisenden ausländischen Perso- nen und Asylsuchenden sich auf Art. 14 Abs. 1 der Verordnung (EU) Nr. 603/2013 des Europäischen Parlaments und des Rats vom 26. Juni 2013 (Eurodac-Verordnung) stützt und sich als zuständigkeitsbegründend erweist (vgl. Urteile des BVGer E-305/2023 vom 25. Januar 2023 E. 7; F-1157/2023 vom 7. März 2023 E. 6.2), dass das Bundesverwaltungsgericht in seinem jüngsten Referenzurteil zum Dublin-Mitgliedstaat Kroatien gestützt auf eine Analyse diverser staat- licher und nichtstaatlicher Quellen und unter Berücksichtigung der Recht- sprechung anderer Dublin-Mitgliedstaaten seine bisherige Rechtspre- chung bestätigt hat, wonach das kroatische Asyl- und Aufnahmesystem, sowohl betreffend Aufnahme- wie auch Wiederaufnahmeverfahren, – zum jetzigen Zeitpunkt – keine systemischen Schwachstellen im Sinne von Art. 3 Abs. 2 Dublin-III-VO aufweist (vgl. dazu Referenzurteil des BVGer E-1488/2020 vom 22. März 2023 E. 9.3), dass Kroatien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w:t>
      </w:r>
    </w:p>
    <w:p>
      <w:r>
        <w:t>D-4860/2023 Seite 8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der Beschwerdeführer – abgesehen von einer Kopie der HDP Partei- mitgliedskarte – keine Beweismittel eingereicht hat, dass er sein Vorbringen, es drohe ihm eine Kettenabschiebung bei der Rückkehr nach Kroatien nicht weiter substantiiert, sondern pauschal er- klärt, Freunde von ihm seien in die Türkei abgeschoben worden, dass seine Vorbringen keine Abweichung von der Einschätzung im Refe- renzurteil E-1488/2020 rechtfertigen, und auch die weiteren Vorbringen des Beschwerdeführers die Zuständigkeit der Schweiz nicht zu begründen vermögen, zumal es ihm nicht gelungen ist, ein konkretes und ernsthaftes Risiko darzutun, wonach die kroatischen Behörden sich weigern würden, ihn wiederaufzunehmen und seinen Antrag auf internationalen Schutz un- ter Einhaltung der Regeln der EU-Verfahrensrichtlinie zu prüfen, dass den Akten auch sonst keine stichhaltigen Hinweise für die Annahme zu entnehmen sind, Kroatien werde in seinem Fall den Grundsatz des Non- Refoulement missachten und ihn zur Ausreise in ein Land zwingen, in dem sein Leib, sein Leben oder seine Freiheit aus einem Grund nach Art. 3 Abs. 1 AsylG gefährdet ist oder in dem er Gefahr laufen würde, zur Aus- reise in ein solches Land gezwungen zu werden, dass der Beschwerdeführer in gesundheitlicher Hinsicht namentlich gel- tend machte, es gehe ihm aufgrund traumatischer Erlebnisse in der Türkei und in Kroatien psychisch nicht gut, dass er zudem in der Beschwerde vorbrachte, mehrfach beim Gesund- heitsdienst der Unterkunft vorgesprochen zu haben, aber ihm lediglich Me- dikamente abgegeben worden seien, dass das SEM betreffend den medizinischen Sachverhalt am 1. September 2023 telefonische Rücksprache mit dem Gesundheitsdienst des BAZ B._______ nahm (vgl. SEM-act. 18/1), dass aus der entsprechenden Aktennotiz hervorgeht, dass dem Beschwer- deführer Medikamente abgegeben wurden und ihm – falls dies nicht helfe –</w:t>
      </w:r>
    </w:p>
    <w:p>
      <w:r>
        <w:t>D-4860/2023 Seite 9 die Vereinbarung eines Arzttermins in Aussicht gestellt wurde, er jedoch weder Arzttermine gehabt habe noch derzeit solche ausstehend seien, dass das SEM den medizinischen Sachverhalt unter diesen Umständen als hinreichend erstellt erachten durfte, dass Kroatien im Übrigen über eine ausreichende medizinische Infrastruk- tur verfügt und von der grundsätzlichen Behandelbarkeit der geltend ge- machten gesundheitlichen Beschwerden auszugehen ist, dass die Mitgliedstaaten den Antragstellern die erforderliche medizinische Versorgung, die zumindest die Notversorgung und die unbedingt erforder- liche Behandlung von Krankheiten und schweren psychischen Störungen umfasst, zugänglich machen müssen (Art. 19 Abs. 1 Aufnahmerichtlinie), und den Antragstellern mit besonderen Bedürfnissen die erforderliche me- dizinische oder sonstige Hilfe (einschliesslich erforderlichenfalls einer ge- eigneten psychologischen Betreuung) zu gewähren haben (Art. 19 Abs. 2 Aufnahmerichtlinie), dass die schweizerischen Behörden, die mit dem Vollzug der angefochte- nen Verfügung beauftragt sind, den medizinischen Umständen bei der Be- stimmung der konkreten Modalitäten der Überstellung der Beschwerdefüh- renden Rechnung tragen und die kroatischen Behörden vorgängig in ge- eigneter Weise über die spezifischen medizinischen Umstände informieren werden (vgl. Art. 31 f. Dublin-III-VO), dass dies vorliegend namentlich bezüglich der Äusserung des Beschwer- deführers angezeigt ist, er werde sich im Fall einer Überstellung entweder in der Schweiz oder in Kroatien in Brand setzen, dass nach dem Gesagten der Eventualantrag auf Rückweisung an die Vor- instanz zu weiteren Abklärungen abzuweisen ist, dass nach der Praxis des EGMR eine zwangsweise Rückweisung von Per- sonen mit gesundheitlichen Beschwerden nur ausnahmsweise einen Verstoss gegen Art. 3 EMRK darzustellen vermögen und dass der Ge- richtshof insbesondere festhielt, dass für die von der Rückschiebung be- troffenen Personen eine konkrete Gefahr bestehen müsse, dass aufgrund fehlender angemessener Behandlungsmöglichkeiten oder eines fehlenden Zugangs zu Behandlung einer ernsthaften, rapiden und irreversiblen Ver- schlechterung des Gesundheitszustands ausgesetzt werden würde, die ein intensives Leiden oder eine wesentliche Verringerung der Lebens-</w:t>
      </w:r>
    </w:p>
    <w:p>
      <w:r>
        <w:t>D-4860/2023 Seite 10 erwartung mit sich bringen würde (Urteil des EGMR Paposhvili gegen Bel- gien vom 13. Dezember 2016, Grosse Kammer, 41738/10, § 183), dass – ohne die gesundheitlichen Beschwerden des Beschwerdeführers verharmlosen zu wollen – diese die genannt hohe Schwelle einer schweren Erkrankung einer Überstellung nach Kroatien nicht erreichen, dass dem SEM bei der Anwendung von Art. 29a Abs. 3 AsylV 1 – wie oben ausgeführt – ein Ermessen zukommt und den Akten keine Hinweise auf eine gesetzeswidrige Ermessensausübung (vgl. Art. 106 Abs. 1 Bst. a AsylG) durch das SEM zu entnehmen sind,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Bundesverwaltungsgericht in seiner Praxis ebenso wie das SEM davon ausgehen, dass die schweizerischen Behörden bei den kroatischen Behörden in der Regel keine individuellen Zusicherungen bezüglich des Zugangs zu adäquater Unterbringung, Betreuung und medizinischer Ver- sorgung einzuholen haben (vgl. statt vieler BVGer E-478/2023 vom 4. Sep- tember 2023, E. 6.2.5) und dass vorliegend keine Gründe bestehen, die ein Abweichen von dieser Regel aufdrängen würden, dass der entsprechende Subeventualantrag bezüglich individueller Zusi- cherungen daher abzuweisen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w:t>
      </w:r>
    </w:p>
    <w:p>
      <w:r>
        <w:t>D-4860/2023 Seite 11 dass die Beschwerde aus diesen Gründen abzuweisen ist und die Verfü- gung des SEM zu bestätigen ist, dass das Beschwerdeverfahren mit vorliegendem Urteil abgeschlossen ist, und somit die Verfügung des Bundesverwaltungsgerichts vom 12. Septem- ber 2023 betreffend den einstweiligen Vollzugsstopp aufzuheben 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D-4860/2023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