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D-4860/2012 vom 21. März 2013</w:t>
      </w:r>
    </w:p>
    <w:p>
      <w:r>
        <w:t>Bundesverwaltungsgericht, 2013-03-21, DE</w:t>
      </w:r>
    </w:p>
    <w:p>
      <w:r>
        <w:rPr>
          <w:b/>
        </w:rPr>
        <w:t xml:space="preserve">Quelle: </w:t>
      </w:r>
      <w:r>
        <w:t>https://mcp.opencaselaw.ch/entscheid/bvger_D-4860_2012</w:t>
      </w:r>
    </w:p>
    <w:p>
      <w:r>
        <w:t>FR: TAF D-4860/2012 du 21 mars 2013</w:t>
      </w:r>
    </w:p>
    <w:p>
      <w:r>
        <w:t>IT: TAF D-4860/2012 del 21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zumindest insoweit auch formgerecht eingereicht worden, als sie Begehren, Begründung und Unterschrift der Vertreterin enthält. Auf die Beschwerde ist daher insofern einzutreten (Art. 105 und Art. 108 Abs. 1 AsylG, Art. 52 VwVG). Vorliegend stellen sich indessen nicht nur Fragen hinsichtlich der Vertretungsbefugnis der rubrizierten Vertreterin, sondern bereits hinsichtlich der Vertretungszugänglichkeit eines Asylgesuchs und der Beschwerdelegitimation überhaupt. Mithin ist im Sinne der Legitimationsvoraussetzungen (Art. 48 Abs. 1 VwVG) zu klären, ob die Beschwerdeführerin am Verfahren vor der Vorinstanz überhaupt teilgenommen hat, entsprechend durch die angefochtene Verfügung besonders berührt ist und somit ein schutzwürdiges Interesse an deren Aufhebung beziehungsweise Änderung haben kann. Diese Fragen werden nachstehend in E. 3 zu erörtern sein.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Ein Asylgesuch kann gemäss Art. 19 AsylG im Ausland bei einer schweizerischen Vertretung gestellt werden, die es mit einem Bericht an das Bundesamt überweist (Art. 20 Abs. 1 AsylG). Der Umstand, dass das Asylgesuch nicht entsprechend dem Wortlaut in Art. 19 Abs. 1 und Art. 20 AsylG bei einer schweizerischen Vertretung, sondern direkt beim BFM eingereicht wurde, ist nicht massgebend (vgl. BVGE 2011/39 E. 3 S. 824). Insofern wurde daher das vorliegende Asylgesuch zu Recht als Asylgesuch aus dem Ausland anhand genommen.</w:t>
      </w:r>
    </w:p>
    <w:p>
      <w:r>
        <w:rPr>
          <w:b/>
        </w:rPr>
        <w:t>E. 3.1</w:t>
      </w:r>
    </w:p>
    <w:p>
      <w:r>
        <w:t>Die Bundesverfassung gewährleistet das Recht auf Vertretung als Teilgehalt des Anspruchs auf rechtliches Gehör (Art. 29 Abs. 2 der Bundesverfassung der Schweizerischen Eidgenossenschaft vom 18. April 1999 [BV, SR 101]; Ulrich Häfelin/Georg Müller/Felix 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Verhältnis zwischen der Nichte und der Beschwerdeführerin handelt es sich um eine gewillkürte Vertretung, zumal die Beschwerdeführerin volljährig ist und somit kein gesetzliches Vertretungsrecht mehr vorliegt. Die gewillkürte Vertretung einer Partei durch einen frei bestimmten Dritten ist unter Vorbehalt des Erfordernisses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weiterführenden Hinweisen; vgl. auch BVGE 2011/39 E.4.1 S. 824 f.).</w:t>
      </w:r>
    </w:p>
    <w:p>
      <w:r>
        <w:rPr>
          <w:b/>
        </w:rPr>
        <w:t>E. 3.2</w:t>
      </w:r>
    </w:p>
    <w:p>
      <w:r>
        <w:t>Bei der Frage über die Vertretungsbefugnis geht es um die Prüfung der Verfahrensvoraussetzungen. Konkret geht es um die grundsätzliche Frage, ob das Stellen eines Asylgesuchs vertretungszugänglich ist.</w:t>
      </w:r>
    </w:p>
    <w:p>
      <w:r>
        <w:rPr>
          <w:b/>
        </w:rPr>
        <w:t>E. 3.3.1</w:t>
      </w:r>
    </w:p>
    <w:p>
      <w:r>
        <w:t>Das Bundesverwaltungsgericht hält vorab fest, dass die Beschwerdeführerin im ganzen bisherigen Verfahren und insbesondere im gesamten erstinstanzlichen Verfahren nie persönlich aufgetreten ist, sei dies bei­spielsweise als Verfasserin ihres eigenen Asylgesuchs, als Direktbeteiligte an einer Befragung oder Anhörung oder in anderer Weise. Vielmehr hat stets ihre Nichte für sie gehandelt. Unter den gegebenen Umständen sind erhebliche Zweifel angebracht, ob die Beschwerdeführerin überhaupt jemals als Asylgesuchstellerin an die schweizerischen Behörden herangetreten ist und - bejahendenfalls - ob die schriftlich geltend gemachten Verfolgungsgründe tatsächlich die ihrigen sind. Entsprechende Zweifel sind daher auch unter dem Aspekt eines potenziellen Missbrauchs des Asylrechts angebracht.</w:t>
      </w:r>
    </w:p>
    <w:p>
      <w:r>
        <w:rPr>
          <w:b/>
        </w:rPr>
        <w:t>E. 4</w:t>
      </w:r>
    </w:p>
    <w:p>
      <w:r>
        <w:t>Gemäss langjähriger asylrechtlicher Praxis gilt die Einreichung eines Asylgesuches als sogenannt "relativ höchstpersönliches Recht" (vgl. Entscheidungen und Mitteilungen der Schweizerischen Asylrekurskommission [EMARK] 1996 Nr. 5, bestätigt in BVGE 2011/39 E. 4.3.2 S. 826 ff. m.w.H.).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BVGE 2011/39 E. 4.3.2 S. 826.ff.;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BVGE 2011/39 E. 4.3.2 S. 826 ff.;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(so im Grundsatz auch die Urteile des Bundesverwaltungsgerichts D-239/2010 vom 4. Juni 2010 E. 3, E-1147/2010 vom 5. März 2010 S. 6 f., D-591/2009 vom 24. Februar 2009 E. 4 oder E-490/2009 vom 23. Februar 2009 S. 5 f.). Fehlt ein solcher, ist eine Mangelbehebung jedoch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(vgl. BVGE 2011/39 E. 4.3.2 S. 826 ff.). 4.1.1 Im vorliegenden Fall steht aufgrund der Aktenlage fest, dass keine Vollmacht im Original vorliegt, obwohl das BFM ausdrücklich eine solche verlangte, und die Beschwerdeführerin im ganzen bisherigen Verfahren nie in irgendeiner Weise persönlich vor einer schweizerischen Asylbehörde im In- oder Ausland aufgetreten ist. Das BFM stellte sodann auch in seiner Zwischenverfügung richtigerweise fest, das Vertretungsverhältnis sei nicht ausgewiesen und forderte unter Androhung des Nichteintretens die Nachreichung einer gültigen Vollmacht ein sowie die Einreichung einer Stellungnahme zum Fragenkatalog. Innert Frist und bis dato wurde keine rechtsgültige Vollmacht zu den Akten gereicht. Die Stellungnahme wurde den Asylbehörden per Fax zugestellt. Das Schreiben weist zwar neben der Unterschrift der Nichte eine weitere Unterschrift auf, die von der Tante stammen soll. Jedoch handelt es sich dabei um keine eigenhändige Unterschrift im Original. Zudem wirft das Dokument inhaltliche Fragen auf beziehungsweise lässt Zweifel offen, ob die angeblich unterzeichnende Tante tatsächlich Kenntnis über den Inhalt des Dokuments hatte. So wird in dem von der rubrizierten Rechtsvertreterin verfassten Schreiben angeführt 'Einzig meine Tante weiss Ihre Fragen genau zu beantworten'. Dies ist insofern befremdend, als die konkret und einfach formulierten Fragen im Rahmen des von ihr angeführten telefonischen Kontakts mit der Tante problemlos von dieser hätten beantwortet werden können. Die Zweifel, ob die Tante tatsächlich vom Inhalt des Schreibens Kenntnis hatte und folglich, ob die schriftlich geltend gemachten Verfolgungsgründe tatsächlich die ihrigen sind, bleiben bestehen. Somit steht für das Bundesverwaltungsgericht nicht fest, ob sie überhaupt ein ihrer Intention entsprechendes Asylgesuch stellen wollte und will. Die per Fax eingereichte Stellungnahme ist nach dem Gesagten nicht geeignet, den Mangel des nicht persönlich gestellten Antrags beziehungsweise des nicht ausgewiesenen Vertretungsverhältnisses zu heilen.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des festgestellten Mangels wieder aufzunehmen und gegebenenfalls einer neuen Entscheidung zuzuführen gedenkt, oder ob es der Nichte der Beschwerdeführerin eine Mitteilung betreffend die Nichtanhandnahme des Asylgesuchs infolge fehlender höchstpersönlicher Einreichung zu machen hat.</w:t>
      </w:r>
    </w:p>
    <w:p>
      <w:r>
        <w:rPr>
          <w:b/>
        </w:rPr>
        <w:t>E. 4.2</w:t>
      </w:r>
    </w:p>
    <w:p>
      <w:r>
        <w:t>Zusammenfassend ist festzustellen, dass das Bundesamt die Höchst­persönlichkeit des Rechts zum Stellen eines Asylgesuchs verkennt und mithin eine Verfügung erlassen hat, die mangels zureichender Prüfung der Verfahrensvoraussetzungen nicht hätte ergehen dürfen.</w:t>
      </w:r>
    </w:p>
    <w:p>
      <w:r>
        <w:rPr>
          <w:b/>
        </w:rPr>
        <w:t>E. 5</w:t>
      </w:r>
    </w:p>
    <w:p>
      <w:r>
        <w:t>Aus diesen Erwägungen ergibt sich, dass die angefochtene Verfügung Bundesrecht verletzt sowie den rechtserheblichen Sachverhalt unrichtig und unvollständig feststellt (Art. 106 AsylG). Die Dispositivziffern 1 und 2 der angefochtenen Verfügung sind daher von Amtes wegen aufzuheben. Die Sache geht zurück an das BFM zur Wiederaufnahme oder allenfalls Beendigung des erstinstanzlichen Asylverfahrens.</w:t>
      </w:r>
    </w:p>
    <w:p>
      <w:r>
        <w:rPr>
          <w:b/>
        </w:rPr>
        <w:t>E. 6.1</w:t>
      </w:r>
    </w:p>
    <w:p>
      <w:r>
        <w:t>Bei diesem Ausgang des Verfahrens sind weder der Beschwerdeführerin noch dem BFM Kosten aufzuerlegen (Art. 63 Abs. 1 und 2 VwVG). Das Gesuch um Gewährung der unentgeltlichen Rechtspflege nach Art. 65 Abs. 1 VwVG ist damit gegenstandslos geworden.</w:t>
      </w:r>
    </w:p>
    <w:p>
      <w:r>
        <w:rPr>
          <w:b/>
        </w:rPr>
        <w:t>E. 6.2</w:t>
      </w:r>
    </w:p>
    <w:p>
      <w:r>
        <w:t>Das Gesuch um Verzicht auf die Erhebung eines Kostenvorschusses ist mit vorliegendem Urteil ebenfalls gegenstandslos geworden.</w:t>
      </w:r>
    </w:p>
    <w:p>
      <w:r>
        <w:rPr>
          <w:b/>
        </w:rPr>
        <w:t>E. 6.3</w:t>
      </w:r>
    </w:p>
    <w:p>
      <w:r>
        <w:t>Obsiegende Parteien haben Anspruch auf eine Parteientschädigung für die ihnen erwachsenen notwendigen und verhältnismässig hohen Kosten (Art. 64 Abs. 1 VwVG). Zwar ist die beschwerdeführende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