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D-4858/2025 vom 10. Juni 2025</w:t>
      </w:r>
    </w:p>
    <w:p>
      <w:r>
        <w:t>Bundesverwaltungsgericht, 2025-06-10, DE</w:t>
      </w:r>
    </w:p>
    <w:p>
      <w:r>
        <w:rPr>
          <w:b/>
        </w:rPr>
        <w:t xml:space="preserve">Quelle: </w:t>
      </w:r>
      <w:r>
        <w:t>https://mcp.opencaselaw.ch/entscheid/bvger_D-4858_2025_d20250610</w:t>
      </w:r>
    </w:p>
    <w:p>
      <w:r>
        <w:t>FR: TAF D-4858/2025 du 10 juin 2025</w:t>
      </w:r>
    </w:p>
    <w:p>
      <w:r>
        <w:t>IT: TAF D-4858/2025 del 10 giugno 2025</w:t>
      </w:r>
    </w:p>
    <w:p>
      <w:pPr>
        <w:pStyle w:val="Heading2"/>
      </w:pPr>
      <w:r>
        <w:t>Regeste</w:t>
      </w:r>
    </w:p>
    <w:p>
      <w:r>
        <w:t>Asyl und Wegweisung | Asyl und Wegweisung; Verfügung des SEM vom 10. Juni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w:t>
      </w:r>
    </w:p>
    <w:p>
      <w:r>
        <w:t>D-4858/2025 Seite 4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Der Beschwerdeführer beantragt in formeller Hinsicht die Rückweisung der Sache an die Vorinstanz zur Neubeurteilung, ohne dieses Begehren in der Beschwerde näher zu begründen.</w:t>
      </w:r>
    </w:p>
    <w:p>
      <w:r>
        <w:rPr>
          <w:b/>
        </w:rPr>
        <w:t>E. 4.2</w:t>
      </w:r>
    </w:p>
    <w:p>
      <w:r>
        <w:t>Das Begehren erweist sich nach Durchsicht der Akten denn auch als unbegründet. Die Vorinstanz hat den rechtserheblichen Sachverhalt rechtsgenüglich festgestellt, ihren Entscheid in tatsächlicher und rechtli- cher Hinsicht nachvollziehbar begründet und im Einzelnen hinreichend dif- ferenziert dargelegt, von welchen Überlegungen sie sich leiten liess (vgl. angefochtene Verfügung S. 5 ff.). Der Beschwerdeführer legt keine konkre- ten Anhaltspunkte dar, welche Zweifel an der vorinstanzlichen Sachver- haltsfeststellung zu begründen vermöchten. Auch sonst ergeben sich aus den Akten keine Verfahrensfehler. Der Umstand, dass der Beschwerdefüh- rer die Schlussfolgerungen der Vorinstanz nicht teilt, beschlägt im Übrigen nicht formell-rechtliche Ansprüche, sondern die materiell-rechtliche Würdi- gung des Sachverhalts. Es liegt somit weder eine unvollständige oder un- richtige Feststellung des rechtserheblichen Sachverhalts vor noch ist eine Verletzung anderer Verfahrensrechte erkennbar.</w:t>
      </w:r>
    </w:p>
    <w:p>
      <w:r>
        <w:rPr>
          <w:b/>
        </w:rPr>
        <w:t>E. 4.3</w:t>
      </w:r>
    </w:p>
    <w:p>
      <w:r>
        <w:t>Folglich rechtfertigt sich eine Rückweisung der Sache an die Vorinstanz zur Neubeurteilung nicht. Das Subeventualbegehren ist abzuweisen.</w:t>
      </w:r>
    </w:p>
    <w:p>
      <w:r>
        <w:t>D-4858/2025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 mens vom 28. Juli 1951 über die Rechtsstellung der Flüchtlinge (FK, SR 0.142.30) vorbehalten bleibt (Art. 3 Abs. 4 AsylG).</w:t>
      </w:r>
    </w:p>
    <w:p>
      <w:r>
        <w:rPr>
          <w:b/>
        </w:rPr>
        <w:t>E. 5.2</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 deswegen bei einer Rückkehr eine Verfolgung befürchten muss. Per- sonen mit subjektiven Nachfluchtgründen erhalten zwar kein Asyl, werden jedoch als Flüchtlinge vorläufig aufgenommen (Art. 54 AsylG;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5.4.1</w:t>
      </w:r>
    </w:p>
    <w:p>
      <w:r>
        <w:t>Soweit der Beschwerdeführer die Flüchtlingseigenschaft aus den gel- tend gemachten Diskriminierungen wegen seiner Zugehörigkeit zur kurdi- schen Ethnie ableiten will, ist festzuhalten, dass seine Vorbringen den An- forderungen an die Flüchtlingseigenschaft nach Art. 3 AsylG nicht standzu- halten vermögen, weshalb vorab auf die ausführlichen sowie zutreffenden</w:t>
      </w:r>
    </w:p>
    <w:p>
      <w:r>
        <w:t>D-4858/2025 Seite 6 Erwägungen der Vorinstanz zu verweisen ist (vgl. angefochtene Verfügung S. 9 f.). Die vorinstanzliche Schlussfolgerung ist weder in tatsächlicher noch in rechtlicher Hinsicht zu beanstanden. Die Beschwerdevorbringen sowie die im Rahmen der Beschwerde eingereichten Beweismittel sind nicht ansatzweise geeignet, zu einer von der Vorinstanz abweichenden Be- trachtungsweise zu gelangen, vermögen sie dieser doch nichts Stichhalti- ges entgegenzuhalten (vgl. Beschwerde S. 4 ff.) Die vom Beschwerdefüh- rer konkret geltend gemachten Vorkommnisse gehen in ihrer Intensität nicht über die Nachteile hinaus, welche weite Teile der kurdischen und ale- vitischen Bevölkerung in der Türkei in ähnlicher Weise treffen können. Im Übrigen stellt das Bundesverwaltungsgericht in konstanter Praxis sehr hohe Anforderungen an die Bejahung einer Kollektivverfolgung, die im Fall der Kurden und Aleviten – auch unter Berücksichtigung der aktuellen poli- tischen Entwicklungen in der Türkei – nicht erfüllt sind (vgl. zum Ganzen das Referenzurteil des BVGer E-4103/2024 vom 8. November 2024 E. 7.1 m.w.H.).</w:t>
      </w:r>
    </w:p>
    <w:p>
      <w:r>
        <w:rPr>
          <w:b/>
        </w:rPr>
        <w:t>E. 5.4.2</w:t>
      </w:r>
    </w:p>
    <w:p>
      <w:r>
        <w:t>Hinsichtlich der vom Beschwerdeführer geltend gemachten, in der Türkei gegen ihn geführten Strafverfahren, ist vorab auf die zutreffenden und ausführlichen Erwägungen der Vorinstanz zu verweisen (vgl. ange- fochtene Verfügung, S. 5–9). Diese hat die geltend gemachten Verfahren – wegen Propaganda für eine terroristische Organisation (Art. 7 Abs. 2 ATG), Präsidentenbeleidigung (Art. 299 tStGB) sowie Beleidigung eines Amtsträgers in Ausübung seines Amtes (Art. 125 tStGB) – anhand der im Referenzurteil des Bundesverwaltungsgerichts E-4103/2024 vom 8. No- vember 2024 dargelegten Kriterien geprüft und deren flüchtlingsrechtliche Relevanz zutreffend verneint. Das Verfahren wegen Propaganda für eine terroristische Organisation befindet sich noch in der Ermittlungsphase, ohne dass eine Anklageschrift ergangen wäre. Nach der bundesverwal- tungsgerichtlichen Praxis erreichen derartige Verfahren auch bei Mehr- fachanhängigkeit in der Regel nicht den Grad der beachtlichen Wahr- scheinlichkeit einer Verurteilung zu einer unbedingten Freiheitsstrafe von erheblichem Ausmass (vgl. Urteil BVGer E-4103/2024 vom 8. November 2024 E. 8.1 und 8.4.3 f.). Entsprechendes gilt auch für die Verfahren wegen Präsidentenbeleidigung und Beleidigung eines Amtsträgers; eine willkürli- che Abweichung von der üblichen Strafzumessung wird vom Beschwerde- führer lediglich pauschal und unsubstantiiert geltend gemacht. Hinzu kommt, dass der strafrechtlich als unbescholten geltende Beschwerdefüh- rer über kein geschärftes oppositionelles Profil verfügt, weshalb selbst im Falle einer Verurteilung mit einer bedingten Strafe oder einer Aufschiebung der Urteilsverkündung zu rechnen wäre (vgl. Urteil BVGer E-4103/2024</w:t>
      </w:r>
    </w:p>
    <w:p>
      <w:r>
        <w:t>D-4858/2025 Seite 7 vom 8. November 2024 E. 8.7.1 f.). Der Umstand, dass gegen ihn ein Vor- führbefehl erlassen wurde (vgl. BM 10–11), ändert daran nichts, zumal die- ser dem Zweck der Einvernahme (und nicht der Inhaftierung) dient (vgl. BM 11 sowie Urteile BVGer D-994/2024 vom 10. April 2024 E. 6.3; E- 1472/2024 vom 12. April 2024 E. 6.2). Soweit der Beschwerdeführer rügt, die Vorinstanz habe die von ihm einge- reichten Verfahrensdokumente zu Unrecht als von geringem Beweiswert erachtet, ist festzuhalten, dass diese Einschätzung auf der gefestigten bun- desverwaltungsgerichtlichen Praxis beruht, wonach türkische Strafverfah- rensakten ohne spezifische Sicherheitsmerkmale leicht manipulierbar und auch gegen Entgelt erhältlich sind (vgl. Urteile BVGer D-7109/2023 vom 14. November 2024 E. 3.6; E-1067/2023 vom 24. April 2024 E. 7.2; E-1558/2024 vom 22. April 2024 E. 6.1.3). Die Vorinstanz hat jedoch – un- abhängig von der Frage der Echtheit – nachvollziehbar dargelegt, weshalb den behaupteten Verfahren keine flüchtlingsrechtliche Relevanz zukommt.</w:t>
      </w:r>
    </w:p>
    <w:p>
      <w:r>
        <w:rPr>
          <w:b/>
        </w:rPr>
        <w:t>E. 5.4.3</w:t>
      </w:r>
    </w:p>
    <w:p>
      <w:r>
        <w:t>Dies gilt ebenso für die vom Beschwerdeführer nach seiner Ausreise in der Schweiz getätigten aktenkundigen regierungskritischen Social-Me- dia-Posts. Selbst wenn zugunsten des Beschwerdeführers davon auszu- gehen wäre, dass diese Äusserungen in der Türkei strafrechtlich relevant sein könnten und damit grundsätzlich den Tatbestand der einschlägigen Bestimmungen des türkischen Strafgesetzbuches erfüllen würden, folgt daraus nicht, dass mit beachtlicher Wahrscheinlichkeit eine flüchtlings- rechtlich relevante Verfolgung droht. Entscheidend ist, ob nach den kon- kreten Umständen und unter Berücksichtigung der in der Türkei üblichen Strafzumessungspraxis eine unbedingte Freiheitsstrafe von erheblichem Ausmass zu erwarten ist (vgl. Urteil BVGer E-4103/2024 vom 8. November 2024 E. 8.7.1 f.). Weder Inhalt noch Reichweite dieser Beiträge lassen in- des auf ein geschärftes oppositionelles Profil schliessen, das eine exemp- larisch harte Bestrafung nahelegen würde. Die Beiträge fügen sich viel- mehr in das von der Vorinstanz zutreffend gewürdigte Bild eines Profils ohne hervorgehobene oppositionelle Prägung ein und ändern an der Ein- schätzung der fehlenden flüchtlingsrechtlichen Relevanz nichts. Es ist folg- lich nicht davon auszugehen, dass die türkischen Behörden den Beschwer- deführer allein aufgrund dieses Umstands als derart prominenten Regime- gegner einstufen, dass ihm bei einer Rückkehr ernsthafte Nachteile im Sinne von Art. 3 AsylG drohen würden.</w:t>
      </w:r>
    </w:p>
    <w:p>
      <w:r>
        <w:t>D-4858/2025 Seite 8</w:t>
      </w:r>
    </w:p>
    <w:p>
      <w:r>
        <w:rPr>
          <w:b/>
        </w:rPr>
        <w:t>E. 5.5</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 sig. 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D-4858/2025 Seite 9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10 f.). Der Beschwerdeführer verfügt über Arbeitserfahrungen in der (…) sowie über ein familiäres Beziehungsnetz und Freunde in der Türkei, bei welchen er während seines dortigen Aufenthalts hat leben und auf deren Unterstüt- zung er hat zählen können (SEM-act. 21/14 F22 ff., F32 und 34). Es ist zudem davon auszugehen, dass es ihm angesichts seiner Ausbildung, sei- nes Alters und seiner Berufserfahrungen möglich sein wird, einer Erwerbs- tätigkeit nachgehen zu können und er damit bei einer Rückkehr in die Tür- kei in keine existenzbedrohende Notlage geraten dürfte. Es bestehen zu- dem keine gesundheitlichen Gründe, die einer Rückkehr entgegenstünden, zumal davon auszugehen ist, dass die beim Beschwerdeführer diagnosti- zierten (…) (vgl. SEM-act. 56/4 und 57/3) auch in der Türkei behandelt wer- den können. Das dortige Gesundheitswesen entspricht grundsätzlich west- europäischen Standards (vgl. Urteil BVGer D-7282/2023 vom 6. Februar 2024 E. 8.3.5) und verfügt über entsprechende Einrichtungen, die eine adäquate medizinische beziehungsweise medikamentöse Versorgung für die genannten gesundheitlichen Beeinträchtigungen sicherstellen. Zudem ist davon auszugehen, dass dem Beschwerdeführer das türkische Ge- sundheitssystem bekannt und er in der Lage ist, dieses zu nutzen. Es ist deshalb nicht anzunehmen, seine Rückkehr in die Türkei würde zu einer Beeinträchtigung seines Gesundheitszustandes führen. Damit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t>D-4858/2025 Seite 10</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8.1 Der Beschwerdeführer ersucht um Gewährung der unentgeltlichen Prozessführung im Sinne von Art. 65 Abs. 1 VwVG. Da seine Begehren ausgehend von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abzuweisen.</w:t>
      </w:r>
    </w:p>
    <w:p>
      <w:r>
        <w:rPr>
          <w:b/>
        </w:rPr>
        <w:t>E. 8.1</w:t>
      </w:r>
    </w:p>
    <w:p>
      <w:r>
        <w:t>Der Beschwerdeführer ersucht um Gewährung der unentgeltlichen Pro- zessführung im Sinne von Art. 65 Abs. 1 VwVG. Da seine Begehren aus- gehend von den vorstehenden Erwägungen als aussichtslos zu gelten ha- ben, ist eine der kumulativ erforderlichen Voraussetzungen nicht erfüllt. Dem Gesuch ist daher nicht zu entsprechen. Aus demselben Grund ist auch das Gesuch um unentgeltliche Rechtsverbeiständung gemäss Art. 65 Abs. 2 VwVG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D-4858/2025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