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D-4857/2015 vom 30. Dezember 2015</w:t>
      </w:r>
    </w:p>
    <w:p>
      <w:r>
        <w:t>Bundesverwaltungsgericht, 2015-12-30, DE</w:t>
      </w:r>
    </w:p>
    <w:p>
      <w:r>
        <w:rPr>
          <w:b/>
        </w:rPr>
        <w:t xml:space="preserve">Quelle: </w:t>
      </w:r>
      <w:r>
        <w:t>https://mcp.opencaselaw.ch/entscheid/bvger_D-4857_2015</w:t>
      </w:r>
    </w:p>
    <w:p>
      <w:r>
        <w:t>FR: TAF D-4857/2015 du 30 décembre 2015</w:t>
      </w:r>
    </w:p>
    <w:p>
      <w:r>
        <w:t>IT: TAF D-4857/2015 del 30 dicembre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Die Beschwerdeführerin ist zur Beschwerdeführung legitimiert (Art. 48 Abs. 1 VwVG), zumal sie als Gastgeberin der Gesuchstellenden in eigenem Namen gegen den ablehnenden Entscheid vom 18. Mai 2015 Einsprache erhoben hat und Adressatin der angefochtenen Verfügung ist (vgl. vgl. BVGE 2014/1 E. 1.3). Da die Eingabe vom 10. August 2015 frist- und formgerecht eingereicht wurde (Art. 50 und 52 VwVG), ist auf die Beschwerde einzutreten.</w:t>
      </w:r>
    </w:p>
    <w:p>
      <w:r>
        <w:rPr>
          <w:b/>
        </w:rPr>
        <w:t>E. 2</w:t>
      </w:r>
    </w:p>
    <w:p>
      <w:r>
        <w:t>Die Kognition des Bundesverwaltungsgerichts und die zulässigen Rügen richten sich vorliegend nach Art. 49 VwVG (vgl. BVGE 2014/26 E. 5).</w:t>
      </w:r>
    </w:p>
    <w:p>
      <w:r>
        <w:rPr>
          <w:b/>
        </w:rPr>
        <w:t>E. 3</w:t>
      </w:r>
    </w:p>
    <w:p>
      <w:r>
        <w:t>In der Beschwerde wird unter anderem gerügt, die Befragung auf dem Generalkonsulat sei oberflächlich abgehalten und zur Erfassung der persönlichen Daten seien allgemeingehaltene Formulare eingesetzt worden, wodurch deren Informationsgehalt gering sei. Somit ist zunächst zu prüfen, ob vorliegend von einem genügend erstellten Sachverhalt auszugehen ist.</w:t>
      </w:r>
    </w:p>
    <w:p>
      <w:r>
        <w:rPr>
          <w:b/>
        </w:rPr>
        <w:t>E. 3.1</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Auer/ Müller/Schindler, VwVG, Kommentar zum Bundesgesetz über das Verwaltungsverfahren, Zürich 2008, Rz. 28 zu Art. 49, S. 676 f.). Ihre Grenze findet die Untersuchungspflicht allerdings in der Mitwirkungspflicht der Gesuchstellenden (vgl. Art. 13 VwVG).</w:t>
      </w:r>
    </w:p>
    <w:p>
      <w:r>
        <w:rPr>
          <w:b/>
        </w:rPr>
        <w:t>E. 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a.a.O., N. 6 ff. zu Art. 35; BVGE 2007/30 E. 5.6).</w:t>
      </w:r>
    </w:p>
    <w:p>
      <w:r>
        <w:rPr>
          <w:b/>
        </w:rPr>
        <w:t>E. 3.3</w:t>
      </w:r>
    </w:p>
    <w:p>
      <w:r>
        <w:t>Gemäss der Weisung "Visumantrag aus humanitären Gründen" fügt die Schweizer Vertretung im Ausland dem Gesuch um Erteilung eines Visums eine kurze Stellungnahme in Form einer Aktennotiz bei. Dabei handelt es sich um eine erste Einschätzung der Botschaft. Es sind keine vertieften Abklärungen notwendig, und es ist insbesondere auch keine asylverfahrensrechtliche Befragung der Person durchzuführen (vgl. Urteil des Bundesverwaltungsgerichts D-6454/2014 vom 18. März 2015 E. 6.6 S. 7 f.). Vielmehr wird im Vorfeld der Gesucheinreichung ein kurzes Beratungsgespräch mit den gesuchstellenden Personen geführt. Die entsprechenden Erkenntnisse beziehungsweise die aus diesem Gespräch gewonnenen Informationen werden stichwortartig handschriftlich festgehalten. Diese fliessen dann anschliessend in die Aktennotiz ein und dienen als Ergänzung zum schriftlichen Antrag der Gesuchstellenden. Auch im vorliegenden Fall wurden diese handschriftlichen Notizen erstellt (vgl. Akten der Vorinstanz S. 24), und dienten als Ergänzung des schriftlichen Antrags der Gesuchstellenden. Somit ist der Sachverhalt als genügend erstellt zu erachten, da namentlich keine Anhörung im Sinne von Art. 29 AsylG zu erfolgen hat.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Gesuchstellenden unterliegen als syrische Staatsangehörige gemäss Art. 1 Abs. 1 VO Nr. 539/2001 in Verbindung mit Anhang I einer Visumspflicht für den Schengen-Raum. Aufgrund der gesamten Umstände kann nicht darauf geschlossen werden, dass die Gesuchstellenden nach Ablauf des Visums fristgerecht aus dem Schengen-Raum ausreisen würden. Die Erteilung eines Visums mit Gültigkeit für den gesamten Schengen-Raum fällt daher nicht in Betracht. Im Urteil des Bundesverwaltungsgerichts D-7002/2014 vom 17. März 2015 wurde festgehalten, dass die Visaanträge vom 15. Januar 2014 am 22. Januar 2014 rechtsgültig abgelehnt wurden und dieser Entscheid in Rechtskraft erwuchs (vgl. a.a.O. E. 3 S. 8). Die vorliegenden Visaanträge wurden von den Gesuchstellenden am 8. April 2015 beim Generalkonsulat gestellt (vgl. vorstehend unter B.). Die Weisung des BFM vom 4. September 2013 betreffend erleichterte Erteilung von Besucher-Visa für syrische Familienangehörige wurde jedoch bereits am 29. November 2013 aufgehoben und konnte somit für die vorliegenden Visa-Anträge vom 8. April 2015 keine Anwendung finden.</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6.2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Urteil des Bundesverwaltungsgerichts D-4783/2011 vom 29. Mai 2013 E. 3.2).</w:t>
      </w:r>
    </w:p>
    <w:p>
      <w:r>
        <w:rPr>
          <w:b/>
        </w:rPr>
        <w:t>E. 7.1</w:t>
      </w:r>
    </w:p>
    <w:p>
      <w:r>
        <w:t>Das Bundesverwaltungsgericht gelangt nach Prüfung der Akten zum Schluss, dass vorliegend die Voraussetzungen für die Erteilung humanitärer Visa nicht erfüllt sind. Die entsprechenden Ausführungen in der angefochtenen Verfügung erweisen sich als zutreffend. Die Beschwerdevorbringen sind nicht geeignet, eine Änderung der vorinstanzlichen Einschätzung zu bewirken. Soweit die Beschwerdeführerin eine rechtsungleiche Behandlung der Gesuchstellenden geltend macht, da neun weitere Familienangehörige Visa für die Einreise in die Schweiz erhalten hätten, kann an dieser Stelle auf die zutreffenden Erwägungen des SEM in seiner Vernehmlassung vom 11. November 2015 verwiesen werden (vgl. Bst. K vorstehend). Das SEM hat zu Recht festgestellt, dass das prozessuale Versäumnis der Gesuchstellenden beziehungsweise der Beschwerdeführerin nicht der Vorinstanz angelastet werden kann. Zur Vermeidung von Wiederholungen ist an dieser Stelle auf die Ausführungen des SEM in seiner Vernehmlassung zu verweisen. Bezüglich des erstmals geltend gemachten Vorbringens, wonach sich B._______ in der Türkei verstecke, weil er in Syrien gesucht werde, nachdem er eine Einberufung als Reservist in den Militärdienst erhalten habe und er dieser Aufforderung nicht nachgekommen sei, ist auf die vorstehenden Ausführungen unter E.3.3 zu verweisen, wonach gemäss der Weisung "Visumantrag aus humanitären Gründen" keine vertieften Abklärungen notwendig sind und insbesondere keine asylverfahrensrechtliche Befragung der Person durchzuführen ist. Der Vollständigkeit halber ist an dieser Stelle darauf hinzuweisen, dass den Akten keine Hinweise zu entnehmen sind, wonach die Türkei B._______ nach Syrien ausweisen würde. Vielmehr ist er in der Türkei in Sicherheit. Soweit auf Beschwerdeebene geltend gemacht wird, die Situation in der Türkei sei nicht mehr die gleiche wie noch zum Zeitpunkt der Einreichung der Visagesuche, ist Folgendes festzuhalten: Das Bundesverwaltungsgericht verkennt nicht, dass syrische Bürgerkriegsflüchtlinge in der Türkei schwierige Lebensbedingungen antreffen können. Die Zahl der syrischen Flüchtlinge in der Türkei ist gemäss mehreren Berichten auf mittlerweile über 2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unmittelbar, ernsthaft und konkret an Leib und Leben gefährdet, respektive sie würden sich in einer besonderen Notlage befinden, welche ein behördliches Eingreifen zwingend erforderlich erscheinen liesse, vermögen die von der Beschwerdeführerin geschilderten Umstände - wie von der Vorinstanz zu Recht erkannt - die Erteilung von Visa aus humanitären Gründen nicht zu rechtfertigen. Im Übrigen können sie sich an die lokalen Behörden oder die vor Ort tätigen Hilfsorganisationen wenden, sollten sie weitergehende Unterstützung benötigen, oder allenfalls auf ihre im Ausland lebenden Verwandten zurückgreifen. Auch wenn die Lebensumstände der Gesuchstellenden in der Türkei schwierig sein dürften, ist ihre dortige Lage aufgrund des Gesagten nicht dergestalt, dass sie einen weiteren Verbleib in der Türkei unzumutbar machen würde. Sie sind in der Türkei keiner akuten Gefährdung ausgesetzt. Das SEM hat daher berechtigterweise befunden, ein Eingreifen seitens der schweizerischen Behörden sei nicht unumgänglich, und den Gesuchstellenden somit zu Recht keine humanitären Visa ausgestellt.</w:t>
      </w:r>
    </w:p>
    <w:p>
      <w:r>
        <w:rPr>
          <w:b/>
        </w:rPr>
        <w:t>E. 8</w:t>
      </w:r>
    </w:p>
    <w:p>
      <w:r>
        <w:t>Aus den vorstehenden Erwägungen ergibt sich, dass die angefochtene Verfügung Bundesrecht nicht verletzt, den rechtserheblichen Sachverhalt richtig und vollständig feststellt und angemessen ist (Art. 49 VwVG). Die Beschwerde ist daher abzuweisen. Es erübrigt sich, auf die weiteren Ausführungen in der Beschwerde näher einzugehen, da sie an der Würdigung des vorliegenden Sachverhalts nichts zu ändern vermögen.</w:t>
      </w:r>
    </w:p>
    <w:p>
      <w:r>
        <w:rPr>
          <w:b/>
        </w:rPr>
        <w:t>E. 9</w:t>
      </w:r>
    </w:p>
    <w:p>
      <w:r>
        <w:t>Bei diesem Ausgang des Verfahrens sind die Verfahrenskosten der Beschwerdeführerin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