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D-4857/2014 vom 15. Januar 2015</w:t>
      </w:r>
    </w:p>
    <w:p>
      <w:r>
        <w:t>Bundesverwaltungsgericht, 2015-01-15, DE</w:t>
      </w:r>
    </w:p>
    <w:p>
      <w:r>
        <w:rPr>
          <w:b/>
        </w:rPr>
        <w:t xml:space="preserve">Quelle: </w:t>
      </w:r>
      <w:r>
        <w:t>https://mcp.opencaselaw.ch/entscheid/bvger_D-4857_2014</w:t>
      </w:r>
    </w:p>
    <w:p>
      <w:r>
        <w:t>FR: TAF D-4857/2014 du 15 janvier 2015</w:t>
      </w:r>
    </w:p>
    <w:p>
      <w:r>
        <w:t>IT: TAF D-4857/2014 del 15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und die Beschwerdeführerinnen sind legitimiert (Art. 105 und 108 Abs. 1 AsylG; Art. 48 Abs. 1 sowie Art. 52 Abs. 1 VwVG). Auf die Beschwerde ist einzutreten.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mit der Beschwerde gestellte Antrag auf Rückweisung der Sache an die Vorinstanz zur Neubeurteilung wurde in der Folge nicht begründet. Aus den Akten ergeben sich denn auch keine Hinweise, dass der rechtserhebliche Sachverhalt nicht genügend erstellt wurde. Der Antrag auf Rückweisung der Sache an die Vorinstanz wird demnach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abweisenden Verfügung hielt das BFM bezüglich der Beschwerdeführerin 1 fest, da sich ihre Vorbringen ausschliesslich auf die Asylgründe der älteren Tochter stützten, sei festzuhalten, dass diese mit Verfügung vom 30. Juli 2014 für unglaubhaft erachtet worden seien. Deshalb seien ihre Vorbringen per se nicht geeignet, Asylrelevanz zu entfalten. Dennoch sei an dieser Stelle zu erwähnen, dass sie möglicherweise gewisse der geltend gemachten Vorfälle tatsächlich erlebt habe wie die Bussgelder, der Lizenzentzug und die Besuche durch den Regionalpolizisten. Es werde ihr jedoch nicht geglaubt, dass diese Besuche im Zusammenhang mit ihrer verschwundenen älteren Tochter beziehungsweise politisch motiviert seien. Vielmehr entstehe der Eindruck, dass diese im Rahmen anderer rechtsstaatlich legitimer Massnahmen stattgefunden hätten und sie daraus eine politisch motivierte Asylbegründung zu konstruieren versuche. Ergänzend sei festzuhalten, dass sie selber über keinerlei politisches Profil verfüge. Die Unterstützung (Aufbewahrung und Nähen von Fahnen sowie Verteilen von Broschüren und Zeitschriften) ihrer älteren Tochter in deren vermutlich geringfügigem Engagement habe keine oder kaum Konsequenzen für sie gehabt. Dies wohl auch deswegen weil die (...) eine legale Partei sei. Die geltend gemachten Behelligungen versuche sie schliesslich lediglich mit einer Vorladung vom (...) 2013 zu belegen. Bei dieser sei jedoch an keiner Stelle der Grund für den Termin ersichtlich und es könne sich somit um irgendeine Angelegenheit handeln. Auch die angeblichen Drohungen im Internet habe sie nicht belegen können, da ihr Zugriff gesperrt sei. Auf weitere Unstimmigkeiten in ihren Vorbringen und Bemerkungen zu ihrem Verhalten werde aufgrund obiger Argumentation nicht mehr eingegangen. Insgesamt hielten ihre Vorbringen den Anforderungen an die Glaubhaftigkeit gemäss Art. 7 AsylG nicht stand.</w:t>
      </w:r>
    </w:p>
    <w:p>
      <w:r>
        <w:rPr>
          <w:b/>
        </w:rPr>
        <w:t>E. 6.2</w:t>
      </w:r>
    </w:p>
    <w:p>
      <w:r>
        <w:t>In ihrer Beschwerde betonte die Beschwerdeführerin 1 noch einmal, dass sie unter Druck gesetzt worden seien, weil man ihre Tochter habe finden wollen. Im Wesentlichen bat sie darum, dass mit dem Entscheid über ihre Beschwerde zugewartet würde, bis über den Rekurs ihrer älteren Tochter entschieden worden sei. Zur Stützung ihrer Beschwerde reichten die Beschwerdeführerinnen Arztberichte bezüglich die Beschwerdeführerin 2 vom 4. und 30. Juni 2014, 4. Juli 2014 und vom 18. August 2014 sowie diverse Berichte aus dem Internet bezüglich der Vorbringen ihrer Tochter beziehungsweise Schwester ein.</w:t>
      </w:r>
    </w:p>
    <w:p>
      <w:r>
        <w:rPr>
          <w:b/>
        </w:rPr>
        <w:t>E. 7</w:t>
      </w:r>
    </w:p>
    <w:p>
      <w:r>
        <w:t>Mit Entscheid vom 2. Dezember wurde wegen Nichtbezahlens des Kostenvorschusses auf die Beschwerde der älteren Tochter beziehungsweise der Schwester der Beschwerdeführerinnen (Verfahren D-4937/2014) nicht eingetreten. Die Verfügung des BFM vom 31. Juli 2014, in welcher deren politisches Engagement und die daraus resultierenden Behelligungen als nicht glaubhaft qualifiziert wurden, erwuchs damit in Rechtskraft. Da sich die Vorbringen der Beschwerdeführerinnen ausschliesslich auf das politische Engagement der älteren Tochter beziehungsweise der Schwester stützen, hat das BFM richtigerweise geschlossen, dass auch die Vorbringen im vorliegenden Verfahren keine Asylrelevanz entfalten können. Das Bundesverwaltungsgericht geht wie das BFM davon aus, dass die Beschwerdeführerinnen gewisse der geltend gemachten Vorfälle tatsächlich erlebt haben dürften, diese aber einen anderen nicht politischen Hintergrund haben und die Beschwerdeführerinnen selber über keinerlei politisches Profil verfügen. Diesem Schluss vermögen die Beschwerdeführerinnen in ihrer Rechtmitteleingabe nichts Wesentliches entgegenzuhalten, beschränkten sie sich doch darauf, zu betonen, dass das politische Engagement ihrer Tochter beziehungsweise Schwester hinter den Behelligungen stünde, und forderten, deren Rekursentscheid sei abzuwarten. Mit der negativen Beurteilung durch das Bundesverwaltungsgericht fällt diese Argumentation dahin. Die eingereichte Vorladung vom (...) 2013 wurde durch das BFM mit richtiger Begründung als für die konkreten Vorbringen nicht beweiskräftig eingestuft. Auch aus der eingereichten Mitgliederliste der (...) lässt sich nichts zu Gunsten der Beschwerdeführerinnen ableiten. Das Gleiche muss für die auf Beschwerdeebene eingereichten weiteren Beweismittel gelten, welche wiederum im Zusammenhang mit dem angeblichen politischen Engagement der älteren Tochter beziehungsweise Schwester stehen. Nach dem Gesagten hat das BFM die Asylgesuche der Beschwerdeführerinnen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9.2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Weissrussland ist demnach unter dem Aspekt von Art. 5 AsylG rechtmässig. Sodann ergeben sich weder aus den Aussagen der Beschwerdeführer­innen noch aus den Akten Anhaltspunkte dafür, dass sie für den Fall einer Ausschaffung nach Weissrussland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Weissrussland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Gemäss übereinstimmenden Aussagen der Beschwerdeführerinnen verfügten diese in Weissrussland durch die berufliche Tätigkeit der Beschwerdeführerin 1 über ein genügendes Einkommen und wohnten in einer staatlichen Wohnung. Die Beschwerdeführerin 1 führte bis zum Lizenzentzug ein eigenes Geschäft und arbeitete anschliessend bei verschiedenen Bekannten. Sie verfügt damit über ausreichende Berufserfahrung und auch Kontakte, um sich bei einer Rückkehr wieder beruflich zu integrieren. Die Beschwerdeführerin 2 stand bei ihrer Ausreise noch in Ausbildung und wird diese mit der finanziellen Unterstützung der Mutter wieder aufnehmen können. In den ärztlichen Berichten der psychiatrischen Dienste V._______ vom 6. August und 12. September 2014 wurde bei der Beschwerdeführerin 2 eine mittelgradige depressive Episode und eine posttraumatische Belastungsstörung sowie eine Essstörung diagnostiziert. Vom 3. bis 6. Juni 2014 wurde sie nach der Einnahme von einer Überdosis Tabletten freiwillig notfallmässig hospitalisiert. Eine Suizidalität verneinte sie, eine mögliche Todesfolge habe sie jedoch in Kauf genommen. Der psychische Zustand wurde in den erwähnten Arztberichten als instabil qualifiziert und weitere Suizidversuche wurden nicht ausgeschlossen, was durch eine Therapie am effektivsten verhindert werden könnte. Die psychischen Probleme der Beschwerdeführerin 2 stehen offenbar im Zusammenhang mit den Ereignissen in Weissrussland, der geltend gemachten Entführung nach W._______ und der Perspektivlosigkeit im aktuellen Leben in der Schweiz. Eine entsprechende Behandlung dieses nicht unüblichen Krankheitsbildes einer depressiven Episode in Weissrussland dürfte aber ohne weiteres möglich sein. Zudem fällt mit einer Rückkehr die Perspektivlosigkeit im aktuellen Leben in der Schweiz dahin und das gewohnte Umfeld ihres Heimatlandes dürfte der jungen Beschwerdeführerin helfen, ihre psychischen Probleme in den Griff zu bekommen. Die geltend gemachten physischen Probleme konnten laut ärztlichem Bericht vom 18. August 2014 erfolgreich operativ behoben werden und sind somit nicht mehr relevant. Nach dem Gesagten erweist sich der Vollzug der Wegweisung auch als zumutbar.</w:t>
      </w:r>
    </w:p>
    <w:p>
      <w:r>
        <w:rPr>
          <w:b/>
        </w:rPr>
        <w:t>E. 9.4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Die mit der Beschwerde gestellten Gesuche um Gewährung der unentgeltlichen Prozessführung und -Verbeiständung im Sinne von Art. 65 Abs. 1 VwVG i.V.m. Art. 110a AsylG sind angesichts der offensichtlichen Unbegründetheit der Begehren der Beschwerdeführerinnen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