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D-4846/2013 vom 19. November 2015</w:t>
      </w:r>
    </w:p>
    <w:p>
      <w:r>
        <w:t>Bundesverwaltungsgericht, 2015-11-19, DE</w:t>
      </w:r>
    </w:p>
    <w:p>
      <w:r>
        <w:rPr>
          <w:b/>
        </w:rPr>
        <w:t xml:space="preserve">Quelle: </w:t>
      </w:r>
      <w:r>
        <w:t>https://mcp.opencaselaw.ch/entscheid/bvger_D-4846_2013</w:t>
      </w:r>
    </w:p>
    <w:p>
      <w:r>
        <w:t>FR: TAF D-4846/2013 du 19 novembre 2015</w:t>
      </w:r>
    </w:p>
    <w:p>
      <w:r>
        <w:t>IT: TAF D-4846/2013 del 19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1.3</w:t>
      </w:r>
    </w:p>
    <w:p>
      <w:r>
        <w:t>Der Bundesrat beschloss am 13. Dezember 2013 mittels der Verordnung über eine Teilinkraftsetzung der Änderung vom 14. Dezember 2012 des Asylgesetzes vom 26. Juni 1998 - unter dem Vorbehalt der in Abs. 2 und 3 der genannten Verordnung aufgeführten Artikel - die Inkraftsetzung der Änderung vom 14. Dezember 2012 des Asylgesetzes vom 26. Juni 1998 (BBl 2012 9685) per 1. Februar 2014. Dabei wurde unter anderem Art. 111c AsylG ergänzend eingefügt, der Mehrfachgesuche neu regelt. Gemäss Abs. 2 der Übergangsbestimmungen des Asylgesetzes vom 26. Juni 1998 betreffend die Änderung vom 14. Dezember 2012 gilt bei Wiedererwägungs- und Mehrfachgesuchen für die im Zeitpunkt des Inkrafttretens der Änderung vom 14. Dezember 2012 des Asylgesetzes vom 26. Juni 1998 hängigen Verfahren bisheriges Recht in der Fassung vom 1. Januar 2008. Das vorliegend interessierende Wiedererwägungsgesuch, welches vom BFM entsprechend dem Antrag vom 11. Juli 2011 als drittes Asylgesuch behandelt wurde, datiert vom 10. August 2010 (vgl. Sachverhalt Bst. O). Demnach sind vorliegend die Bestimmungen des AsylG in der Fassung vom 1. Januar 2008 anwendbar. Der neue Art. 111c AsylG findet somit keine Anwendung.</w:t>
      </w:r>
    </w:p>
    <w:p>
      <w:r>
        <w:rPr>
          <w:b/>
        </w:rPr>
        <w:t>E. 2</w:t>
      </w:r>
    </w:p>
    <w:p>
      <w:r>
        <w:t>Mit der vorliegenden Beschwerde kann die Verletzung von Bundesrecht, die unrichtige oder unvollständige Feststellung des rechtserheblichen Sachverhalts und die Unangemessenheit gerügt werden (vgl. Art. 106 Abs. 1 des Asylgesetzes in der Fassung gemäss Ziff. I des Bundesgesetzes vom 16. Dezember 2005 [aAsylG, AS 2006 4745]).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Mit Verfügung vom 5. Oktober 2007 hat die Vorinstanz das erste Asylgesuch des Beschwerdeführers abgelehnt mit der Begründung, seine Vorbringen würden den Anforderungen an die Glaubhaftigkeit gemäss Art. 7 AsylG nicht genügen (vgl. Sachverhalt Bst. B). Diese Verfügung ist durch das Urteil des Bundesverwaltungsgerichts vom 6. Dezember 2007 in Rechtskraft erwachsen (vgl. Sachverhalt Bst. C). Im Weiteren haben die im Rahmen des zweiten Asylverfahrens durchgeführten Abklärungen der Schweizer Vertretung in Damaskus in Übereinstimmung mit der Einschätzung des BFM in seiner Verfügung vom 5. Oktober 2007, wonach eine Vorverfolgung des Beschwerdeführers in Syrien zufolge Widersprüchen in seinen Vorbringen nicht glaubhaft sei, ergeben, dass der Beschwerdeführer entgegen seinen Behauptungen in seinem Heimatland nicht gesucht wurde. Da der Beschwerdeführer eine Vorverfolgung nicht glaubhaft machen konnte, kann somit - zumal eine solche sowohl in der Beschwerde vom 28. August 2013 als auch in der Beschwerdeergänzung vom 4. Oktober 2013 gar nicht beziehungsweise bloss andeutungsweise und damit nicht substantiiert thematisiert wird - klarerweise davon ausgegangen werden, dass er vor dem Verlassen Syriens (notabene vor Eintritt des Bürgerkriegs) als regimefeindliche Person nicht ins Blickfeld der syrischen Behörden geraten ist.</w:t>
      </w:r>
    </w:p>
    <w:p>
      <w:r>
        <w:rPr>
          <w:b/>
        </w:rPr>
        <w:t>E. 5.1</w:t>
      </w:r>
    </w:p>
    <w:p>
      <w:r>
        <w:t>Die Vorinstanz hat das dritte Asylgesuch des Beschwerdeführers im Wesentlichen mit der Begründung abgelehnt, dass sich zwar die syrischen Behörden für die exilpolitischen Aktivitäten ihrer Staatsangehörigen interessieren würden, indessen davon auszugehen sei, dass sie sich dabei auf die Erfassung von Personen konzentrieren würden, die qualifizierte Aktivitäten ausüben würden. Diesbezüglich sei insbesondere eine öffentliche Exponierung massgebend, die aufgrund des Inhalts der in der Öffentlichkeit abgegebenen Erklärungen den Eindruck erwecke, dass ein Asylsuchender aus der Sicht des syrischen Regimes als potenzielle Bedrohung wahrgenommen werde. In der Beschwerdeverbesserung wird demgegenüber geltend gemacht, der Beschwerdeführer nehme seit seiner Ankunft in der Schweiz (im Jahre 2006) bis heute aktiv an Demonstrationen gegen das Regime seines Heimatstaates teil, was - im Verbund mit seiner ethnischen Herkunft als Kurde - bei einer Rückkehr in seine Heimat mit grosser Wahrscheinlichkeit zu einer flüchtlingsrechtlich relevanten Verfolgung führen würde.</w:t>
      </w:r>
    </w:p>
    <w:p>
      <w:r>
        <w:rPr>
          <w:b/>
        </w:rPr>
        <w:t>E. 5.2.1</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vom in Frage stehenden Verhalten der Beschwerde 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2009/29 E. 5.1, 2010/44 E. 3.4, 2010/57 E. 2.5, 2011/51 E. 6.2 sowie das Referenzurteil D-3839/2013 des Bundesverwaltungsgerichts vom 28. Oktober 2015 E. 6.2.1, mit weiteren Hinweisen).</w:t>
      </w:r>
    </w:p>
    <w:p>
      <w:r>
        <w:rPr>
          <w:b/>
        </w:rPr>
        <w:t>E. 5.2.2</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 Wie unter E. 1.3 dargelegt, gelangen gemäss Abs. 2 der Übergangsbestimmungen des Asylgesetzes vom 26. Juni 1998 betreffend die Änderung vom 14. Dezember 2012 auf das vorliegende Verfahren die Bestimmungen des AsylG in der Fassung vom 1. Januar 2008 zur Anwendung. Die Frage, welche Auswirkungen sich aus Art. 3 Abs. 4 AsylG für die Beurteilung von subjektiven Nachfluchtgründen ergeben, braucht im vorliegenden Verfahren daher nicht beantwortet zu werden.</w:t>
      </w:r>
    </w:p>
    <w:p>
      <w:r>
        <w:rPr>
          <w:b/>
        </w:rPr>
        <w:t>E. 5.3</w:t>
      </w:r>
    </w:p>
    <w:p>
      <w:r>
        <w:t>Im erwähnten Referenzurteil D-3839/2013 vom 28. Oktober 2015 wird in Bezug auf die Frage der flüchtlingsrechtlich relevanten Gefährdung von exilpolitisch aktiven syrischen Staatsangehörigen Folgendes erwogen: Grundsätzlich sei unbestritten, dass die Geheimdienste des syrischen Regimes von Bashar al-Assad in verschiedenen europäischen Staaten nachrichtendienstlich tätig seien, und zwar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Aus diesen Gründen könne das Bundesverwaltungsgericht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die erwähnten Informationen sammelten, vermöge jedoch die Annahme nicht zu rechtfertigen, dass jemand aufgrund geheimdienstlicher Informationen über exilpolitische Tätigkeiten im Falle der Rückkehr nach Syrien in asylrechtlich relevantem Ausmass zur Rechenschaft gezogen werde.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gehe diesbezüglich davon aus,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a.a.O., E. 6.3, S. 15 ff., mit weiteren Hinweisen).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erscheine es naheliegend,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würden beziehungsweise inwieweit sie dazu aktuell überhaupt noch in der Lage seien. Dabei sei zu berücksichtigen, dass die Nachrichtendienste der betroffenen europäischen Länder in den letzten Jahren Massnahmen ergriffen hätten, welche dazu geführt hätten, dass die syrischen Geheimdienste ihre Aktivitäten in diesen Ländern nicht mehr ungehindert ausüben könnten. Angesichts der grossen Anzahl von Personen, welche seit Ausbruch des Bürgerkriegs aus Syrien geflüchtet seien - mehr als vier Millionen -,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Deshalb gehe das Bundesverwaltungsgericht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wie dargelegt dann der Fall, wenn sie aufgrund ihrer Persönlichkeit, der Form des Auftritts und aufgrund des Inhalts der in der Öffentlichkeit abgegebenen Erklärungen den Eindruck erwecke, sie werde aus Sicht des syrischen Regimes als potenzielle Bedrohung wahrgenommen (vgl. a.a.O., E. 6.3.6, S. 18, m.w.H.).</w:t>
      </w:r>
    </w:p>
    <w:p>
      <w:r>
        <w:rPr>
          <w:b/>
        </w:rPr>
        <w:t>E. 5.4.1</w:t>
      </w:r>
    </w:p>
    <w:p>
      <w:r>
        <w:t>Der Beschwerdeführer macht in Bezug auf seine exilpolitischen Aktivitäten in der Schweiz geltend, er habe seit seiner Einreise in die Schweiz an zahlreichen Kundgebungen und Versammlungen für die Belange der kurdischen Minderheit in Syrien teilgenommen. Ausserdem sei er Mitglied der PYD, des Menschenrechtsvereins in Syrien (MAF) sowie der Ararat-Gruppe Schweiz. Er habe während diverser Kundgebungen auch Flyer verteilt. Verschiedene von ihm besuchte Kundgebungen seien auch im Internet aufgeschaltet worden, welche mit seinem Facebook-Profil verlinkt seien. Ausserdem habe er seit mehreren Jahren auf einschlägigen Webseiten, insbesondere Gemya Kurda, regimekritische Artikel publiziert.</w:t>
      </w:r>
    </w:p>
    <w:p>
      <w:r>
        <w:rPr>
          <w:b/>
        </w:rPr>
        <w:t>E. 5.4.2</w:t>
      </w:r>
    </w:p>
    <w:p>
      <w:r>
        <w:t>Angesichts der eingereichten Beweismittel erscheint glaubhaft, dass sich der Beschwerdeführer seit seiner Einreise in die Schweiz an zahlreichen prokurdischen Demonstrationen und Versammlungen beteiligt hat. Ausserdem ist aufgrund der Bestätigungsschreiben der PYD, der MAF sowie der Ararat-Gruppe Schweiz davon auszugehen, dass er Mitglied der entsprechenden Organisationen ist. Aufgrund der Aktenlage bestehen indessen keine konkreten Anhaltspunkte dafür, dass er tatsächlich wegen seiner Tätigkeit oder Funktion im Exil als ernsthafter und potenziell gefährlicher Regimegegner die Aufmerksamkeit der syrischen Geheimdienste auf sich gezogen haben könnte. Zunächst ist festzuhalten, dass es dem Beschwerdeführer - wie vorstehend ausgeführt - nicht gelungen ist, eine Vorverfolgung glaubhaft zu machen (vgl. E. 4.). Es kann daher ausgeschlossen werden, dass er vor dem Verlassen Syriens als regimefeindlicher Aktivist registriert war. Der Beschwerdeführer hat sich sodann in der Schweiz nicht in herausragender Position für die Interessen der syrischen Kurden respektive gegen das syrische Regime engagiert. Insbesondere ist den Akten nicht zu entnehmen, dass er innerhalb der PYD, der MAF oder der Ararat-Gruppe Schweiz eine exponierte Kaderstelle innehat. In letzterem Zusammenhang erscheint das Bestätigungsschreiben der Ararat-Gruppe Schweiz vom 26. April 2012 (Beilage 5 der Eingabe des Rechtsvertreters vom 31. Juli 2012; vgl. Sachverhalt Bst. P) aufschlussreich zu sein, handelt es sich doch dabei um ein vorgefertigtes Standardschreiben mit Auslassungszeichen, an deren Stelle der Vor- und Nachname des Beschwerdeführers zweimal handschriftlich eingefügt wurde. Der Beschwerdeführer hat demnach wie Tausende syrischer Staatsangehöriger oder staatenloser Kurden syrischer Herkunft in der Schweiz und anderen europäischen Staaten an diversen Kundgebungen gegen das syrische Regime teilgenommen,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Daran ändert nichts, dass der Beschwerdeführer auf Gemya Kurda diverse regimekritische Beiträge veröffentlichte, zumal solche Aktivitäten bei einer Vielzahl von Asylsuchenden festzustellen sind, welche entsprechende Internetplattformen für die Verbreitung ihrer Beiträge nutzen und diese oftmals direkt mit ihrem Facebook-Profil verknüpfen. Ebenfalls zu keiner anderen Einschätzung vermag der Umstand zu führen, dass der Beschwerdeführer auf einem am 26. Mai 2015 mit einem USB-Stick eingereichten, nicht näher kommentierten Kurzvideo ab Blatt in schlecht verständlichem Deutsch eine Rede verliest (vgl. Sachverhalt Bst. Y), vermag ihm dieses Unterfangen doch noch keineswegs den Anschein eines ernsthaften Regimegegners zu verleihen. Aufgrund des Gesagten übersteigt das exilpolitische Engagement des Beschwerdeführers entgegen den Behauptungen in der Beschwerde die Schwelle der massentypischen Erscheinungsformen exilpolitischer Proteste syrischer Staatsangehöriger nicht.</w:t>
      </w:r>
    </w:p>
    <w:p>
      <w:r>
        <w:rPr>
          <w:b/>
        </w:rPr>
        <w:t>E. 5.5</w:t>
      </w:r>
    </w:p>
    <w:p>
      <w:r>
        <w:t>Zusammenfassend ergibt sich, dass keine asylrechtlich relevanten Verfolgungsgründe (weder mit Bezug auf eventuelle Vorflucht- noch betreffend subjektive Nachfluchtgründe) ersichtlich sind, weshalb das BFM zu Recht die Flüchtlingseigenschaft verneint und das Asylgesuch abgelehnt hat.</w:t>
      </w:r>
    </w:p>
    <w:p>
      <w:r>
        <w:rPr>
          <w:b/>
        </w:rPr>
        <w:t>E. 6.1</w:t>
      </w:r>
    </w:p>
    <w:p>
      <w:r>
        <w:t>Lehnt das BFM das Asylgesuch ab oder tritt es darauf nicht ein, so verfügt es in der Regel die Wegweisung aus der Schweiz und ordnet den Vollzug an; es berücksichtigt dabei den Grundsatz der Einheit der Familie (Art. 44 Abs. 1 aAsylG).</w:t>
      </w:r>
    </w:p>
    <w:p>
      <w:r>
        <w:rPr>
          <w:b/>
        </w:rPr>
        <w:t>E. 6.2</w:t>
      </w:r>
    </w:p>
    <w:p>
      <w:r>
        <w:t>Der vorläufig aufgenommene Beschwerdeführer verfügt weder über eine ausländerrechtliche Aufenthaltsbewilligung (Art. 32 Bst. a der Asylverordnung 1 vom 11. August 1999 [AsylV 1, SR 142.311] noch über einen Anspruch auf Erteilung einer solchen. Die Wegweisung wurde demnach zu Recht verfügt (vgl. BVGE 2012/31 E. 6; 2011/24 E. 10.1; EMARK 2001 Nr. 21).</w:t>
      </w:r>
    </w:p>
    <w:p>
      <w:r>
        <w:rPr>
          <w:b/>
        </w:rPr>
        <w:t>E. 7</w:t>
      </w:r>
    </w:p>
    <w:p>
      <w:r>
        <w:t>Zusammenfassend ergibt sich, dass die angefochtene Verfügung Bundesrecht nicht verletzt, den rechtserheblichen Sachverhalt richtig sowie vollständig feststellt und angemessen ist (Art. 106 Abs. 1 aAsylG). Die Beschwerde ist demnach abzuweisen.</w:t>
      </w:r>
    </w:p>
    <w:p>
      <w:r>
        <w:rPr>
          <w:b/>
        </w:rPr>
        <w:t>E. 8</w:t>
      </w:r>
    </w:p>
    <w:p>
      <w:r>
        <w:t>Bei diesem Ausgang des Verfahrens sind die Kosten von Fr. 600.- (vgl. Art. 1-3 des Reglements vom 21. Februar 2008 über die Kosten und Entschädigungen vor dem Bundesverwaltungsgericht [VGKE, SR 173.320.2]) dem Beschwerdeführer aufzuerlegen (Art. 63 Abs. 1 VwVG), wobei der vom Beschwerdeführer am 27. September 2013 geleistete Kostenvorschuss in Höhe von Fr. 600.-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