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D-4842/2010 vom 11. Oktober 2012</w:t>
      </w:r>
    </w:p>
    <w:p>
      <w:r>
        <w:t>Bundesverwaltungsgericht, 2012-10-11, FR</w:t>
      </w:r>
    </w:p>
    <w:p>
      <w:r>
        <w:rPr>
          <w:b/>
        </w:rPr>
        <w:t xml:space="preserve">Quelle: </w:t>
      </w:r>
      <w:r>
        <w:t>https://mcp.opencaselaw.ch/entscheid/bvger_D-4842_2010</w:t>
      </w:r>
    </w:p>
    <w:p>
      <w:r>
        <w:t>FR: TAF D-4842/2010 du 11 octobre 2012</w:t>
      </w:r>
    </w:p>
    <w:p>
      <w:r>
        <w:t>IT: TAF D-4842/2010 del 11 ottobre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par renvoi de l'art. 105 de la loi du 26 juin 1998 sur l'asile (LAsi, RS 142.31),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 qualité pour recourir (art. 48 al. 1 PA). Interjeté dans la forme (art. 52 PA) et le délai (art. 108 al. 1 LAsi) prescrits par la loi, le recours est recevable.</w:t>
      </w:r>
    </w:p>
    <w:p>
      <w:r>
        <w:rPr>
          <w:b/>
        </w:rPr>
        <w:t>E. 2.1</w:t>
      </w:r>
    </w:p>
    <w:p>
      <w:r>
        <w:t>Le Tribunal examine d'office l'application du droit fédéral, les constatations de fait ainsi que l'opportunité (art. 106 LAsi) sans être lié par les motifs des parties (art. 62 al. 4 PA) ou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 Praxiskommentar zum Bundesgesetz über das Verwaltungsverfahren, Zurich/Bâle/Genève 2009, art. 62 PA, nos 37 à 40, p. 1249 s.).</w:t>
      </w:r>
    </w:p>
    <w:p>
      <w:r>
        <w:rPr>
          <w:b/>
        </w:rPr>
        <w:t>E. 2.2</w:t>
      </w:r>
    </w:p>
    <w:p>
      <w:r>
        <w:t>Saisi d'un recours contre une décision de l'ODM rendue en matière d'asile, le Tribunal tient compte de la situation et des éléments tels qu'ils se présentent au moment où il se prononce (cf. ATAF 2010/57 consid. 2.6, ATAF 2009/29 consid. 5.1 i.i., ATAF 2008/12 consid. 5.2, ATAF 2008/4 consid. 5.4 ; Jurisprudence et informations de la Commission suisse de recours en matière d'asile [JICRA] 2000 n° 2 p. 20). Ce faisant, il prend en considération l'évolution intervenue depuis le dépôt de la demande d'asile.</w:t>
      </w:r>
    </w:p>
    <w:p>
      <w:r>
        <w:rPr>
          <w:b/>
        </w:rPr>
        <w:t>E. 3</w:t>
      </w:r>
    </w:p>
    <w:p>
      <w:r>
        <w:t>Il y a lieu d'examiner d'abord si la décision de l'ODM doit être cassée et renvoyée à l'autorité inférieure pour complément d'instruction. L'intéressé a déclaré avoir bien compris l'interprète lors des deux auditions (cf. procès-verbal de l'audition du 25 octobre 2007, p. 6 ; cf. procès-verbal de l'audition du 13 mars 2008, p. 5) De plus, il n'a formulé aucune remarque mentionnant d'éventuels problèmes de compréhension, ajoutant même qu'il avait pu exprimé tout ce qu'il avait eu à dire (cf. procès-verbal de l'audition du 13 mars 2008, p. 18). Les procès-verbaux des deux auditions lui ont été relus et il les a signés, attestant ainsi que les propos retranscrits correspondaient à son récit. En outre, lors de l'audition sur les motifs, le représentant de l'oeuvre d'entraide n'a fait aucune remarque permettant de penser qu'il y aurait eu un problème lors de dite audition (cf. procès-verbal de l'audition du 13 mars 2008, p. 21). Enfin, rien ne permet de conclure que l'ODM aurait mal interprété l'état de fait (cf. ci-après). La nécessité d'un complément d'instruction n'est ainsi pas démontrée. Conséquemment, le recours, en tant qu'il porte sur la demande de cassation de la décision et le renvoi de la cause à l'autorité inférieure pour complément d'instruction, doit être rejeté.</w:t>
      </w:r>
    </w:p>
    <w:p>
      <w:r>
        <w:rPr>
          <w:b/>
        </w:rPr>
        <w:t>E. 4</w:t>
      </w:r>
    </w:p>
    <w:p>
      <w:r>
        <w:t>En vertu de l'art. 2 al. 1 LAsi, la Suisse accorde sur demande l'asile à des réfugiés conformément aux dispositions de la présente loi.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phrase LAsi).</w:t>
      </w:r>
    </w:p>
    <w:p>
      <w:r>
        <w:rPr>
          <w:b/>
        </w:rPr>
        <w:t>E. 4.1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sont contradictoires, ne correspondent pas aux faits ou reposent de manière déterminante sur des moyens de preuve faux ou falsifiés (art. 7 LAsi).</w:t>
      </w:r>
    </w:p>
    <w:p>
      <w:r>
        <w:rPr>
          <w:b/>
        </w:rPr>
        <w:t>E. 4.1.1</w:t>
      </w:r>
    </w:p>
    <w:p>
      <w:r>
        <w:t>Les déclarations de l'intéressé concernant la prétendue dénonciation dont il se serait fait l'auteur ne sont pas convaincantes. Ainsi, de l'aveu même du recourant, les faits reprochés au groupe de B._______ (vols, harcèlement de la population, détention d'armes), ainsi que le lieu où il se trouvait, étaient connus de tous, et en particulier de ses supérieurs (cf. procès-verbal de l'audition du 13 mars 2008, p. 9). L'intéressé prétend toutefois avoir renseigné ses chefs sur B._______ et leur avoir donné son adresse. Selon lui, ces informations auraient conduit à l'arrestation de quatre personnes. De plus, sachant que la dénonciation émanait de lui, les membres du groupe de B._______ auraient voulu lui faire payer leurs ennuis avec la police afghane. Or, il est invraisemblable que les supérieurs de l'intéressé se soient basés sur cette prétendue dénonciation, ne contenant que des informations générales dont ils étaient déjà au courant, pour mener leur opération à l'encontre de ce groupe armé. C'est dire que le groupe de B._______ n'avait aucune raison de viser le recourant personnellement et de lui faire payer les arrestations subies.</w:t>
      </w:r>
    </w:p>
    <w:p>
      <w:r>
        <w:rPr>
          <w:b/>
        </w:rPr>
        <w:t>E. 4.1.2</w:t>
      </w:r>
    </w:p>
    <w:p>
      <w:r>
        <w:t>Par ailleurs, l'intéressé s'est contredit sur plusieurs points essentiels de son récit. ll a d'abord déclaré avoir fui son domicile sept jours après le décès de son cousin (cf. procès-verbal de l'audition du 25 octobre 2007, p.5), avant de prétendre être parti le soir même de l'attentat, soit le jour même du décès de son cousin (cf. procès-verbal de l'audition du 13 mars 2008, p. 11). Cette contradiction ne saurait s'expliquer par les problèmes de compréhension avec le traducteur qu'a allégués l'intéressé. En effet, ce dernier n'apporte aucun élément décisif permettant de tirer une telle conclusion. De plus, la faible connaissance du pachtoune de l'interprète, mise en exergue par le recourant dans son mémoire, n'a aucune influence sur la qualité de la traduction des propos de l'intéressé, l'audition s'étant déroulée en farsi. L'intéressé a également divergé à propos de la personne qui l'aurait averti qu'il était recherché. Dans une première version, il a affirmé qu'il s'agissait de sa soeur (cf. procès-verbal de l'audition du 25 octobre 2007, p. 5), puis d'une voisine (cf. procès-verbal de l'audition du 13 mars 2008, pp. 11 et 12). Interrogé sur cette contradiction lors de l'audition sur les motifs, le recourant a expliqué que, quand un malheur frappait une famille, les voisins étaient considérés comme des membres de la famille. Cette justification, qu'il reproduit dans son recours, n'est pas convaincante.</w:t>
      </w:r>
    </w:p>
    <w:p>
      <w:r>
        <w:rPr>
          <w:b/>
        </w:rPr>
        <w:t>E. 4.1.3</w:t>
      </w:r>
    </w:p>
    <w:p>
      <w:r>
        <w:t>Enfin, l'intéressé n'a produit aucun document rendant son récit vraisemblable. Sa carte de moudjahidine ne démontre en rien les persécutions alléguées. L'attestation d'autorités locales n'est pas un document officiel et son authenticité n'a d'ailleurs pas été établie. Quant au document censé émaner d'un ancien ministre afghan, il ne concerne pas spécifiquement l'intéressé et n'apporte aucun élément concret à même d'étayer les dires de ce dernier.</w:t>
      </w:r>
    </w:p>
    <w:p>
      <w:r>
        <w:rPr>
          <w:b/>
        </w:rPr>
        <w:t>E. 4.1.4</w:t>
      </w:r>
    </w:p>
    <w:p>
      <w:r>
        <w:t>Au vu de ce qui précède, les motifs d'asile du recourant ne sont manifestement pas vraisemblables, au sens de l'art. 7 LAsi.</w:t>
      </w:r>
    </w:p>
    <w:p>
      <w:r>
        <w:rPr>
          <w:b/>
        </w:rPr>
        <w:t>E. 4.2</w:t>
      </w:r>
    </w:p>
    <w:p>
      <w:r>
        <w:t>L'intéressé n'a pas non plus rendu vraisemblable qu'il existait pour lui un risque de persécutions futures en cas de retour dans son Etat d'origine. En effet, il a été démontré plus haut que le groupe armé de B._______ n'avait aucune raison de s'en prendre à l'intéressé personnellement. Par conséquent, l'existence d'une crainte objectivement fondée de persécution future au sens de l'art. 3 LAsi en cas de retour à Herat ne saurait être admise.</w:t>
      </w:r>
    </w:p>
    <w:p>
      <w:r>
        <w:rPr>
          <w:b/>
        </w:rPr>
        <w:t>E. 4.3</w:t>
      </w:r>
    </w:p>
    <w:p>
      <w:r>
        <w:t>Il s'ensuit manifestement que le recours, en tant qu'il conteste le refus de reconnaissance de la qualité de réfugié et le rejet de la demande d'asile, doit être rejeté.</w:t>
      </w:r>
    </w:p>
    <w:p>
      <w:r>
        <w:rPr>
          <w:b/>
        </w:rPr>
        <w:t>E. 5</w:t>
      </w:r>
    </w:p>
    <w:p>
      <w:r>
        <w:t>Lorsqu'il rejette la demande d'asile ou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réalisée, le Tribunal est, de par la loi, tenu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84 de la loi fédérale du 16 décembre 2005 sur les étrangers (LEtr, RS 142.20).</w:t>
      </w:r>
    </w:p>
    <w:p>
      <w:r>
        <w:rPr>
          <w:b/>
        </w:rPr>
        <w:t>E. 7</w:t>
      </w:r>
    </w:p>
    <w:p>
      <w:r>
        <w:t>Il y a ainsi lieu d'examiner d'abord la licéité de l'exécution du renvoi du recourant.</w:t>
      </w:r>
    </w:p>
    <w:p>
      <w:r>
        <w:rPr>
          <w:b/>
        </w:rPr>
        <w:t>E. 7.1</w:t>
      </w:r>
    </w:p>
    <w:p>
      <w:r>
        <w:t>Selon le droit interne,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En l'occurrence, l'exécution du renvoi ne contrevient pas au principe de non-refoulement de l'art. 5 LAsi. Comme exposé plus haut (cf. consid. 4.2), le recourant n'a pas rendu vraisemblable qu'en cas de retour dans son pays d'origine, il serait exposé à de sérieux préjudices au sens de l'art. 3 LAsi.</w:t>
      </w:r>
    </w:p>
    <w:p>
      <w:r>
        <w:rPr>
          <w:b/>
        </w:rPr>
        <w:t>E. 7.2</w:t>
      </w:r>
    </w:p>
    <w:p>
      <w:r>
        <w:t>L'exécution n'est pas non plus licite lorsque le renvoi de l'étranger dans son Etat d'origine ou de provenance ou dans un Etat tiers est contraire aux engagements de la Suisse relevant du droit international (art. 83 al. 3 LEtr). Tel est notamment le cas lorsque la Suisse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7.2.1</w:t>
      </w:r>
    </w:p>
    <w:p>
      <w:r>
        <w:t>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 européenne des droits de l'homme [ci-après : CourEDH], arrêt F.H. c. Suède, n° 32621/06, 20 janvier 2009, CourEDH, arrêt Saadi c. Italie, n° 37201/06, 28 février 2008). En l'occurrence, pour les raisons exposées ci-avant (cf. consid. 4), le recourant n'a clairement pas démontré à satisfaction de droit qu'il existait pour lui un risque réel, fondé sur des motifs sérieux et avérés, d'être victime de torture ou encore d'un traitement inhumain ou dégradant, au sens de l'art. 3 CEDH, en cas d'exécution du renvoi dans son pays d'origine.</w:t>
      </w:r>
    </w:p>
    <w:p>
      <w:r>
        <w:rPr>
          <w:b/>
        </w:rPr>
        <w:t>E. 7.2.2</w:t>
      </w:r>
    </w:p>
    <w:p>
      <w:r>
        <w:t>Il ne ressort pas non plus de l'examen du dossier que l'exécution du renvoi du recourant pourrait l'exposer à un traitement contraire à l'art. 3 Conv. torture précité.</w:t>
      </w:r>
    </w:p>
    <w:p>
      <w:r>
        <w:rPr>
          <w:b/>
        </w:rPr>
        <w:t>E. 7.2.3</w:t>
      </w:r>
    </w:p>
    <w:p>
      <w:r>
        <w:t>Dès lors, l'exécution du renvoi du recourant sous forme de refoulement ne transgresse manifestement aucun engagement de la Suisse relevant du droit international, de sorte qu'elle s'avère licite au sens de l'art. 83 al. 3 LEtr.</w:t>
      </w:r>
    </w:p>
    <w:p>
      <w:r>
        <w:rPr>
          <w:b/>
        </w:rPr>
        <w:t>E. 8</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JICRA 2002 n° 11 consid. 8a).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 JICRA 1999 n° 28 et jurisp. cit.).</w:t>
      </w:r>
    </w:p>
    <w:p>
      <w:r>
        <w:rPr>
          <w:b/>
        </w:rPr>
        <w:t>E. 8.1</w:t>
      </w:r>
    </w:p>
    <w:p>
      <w:r>
        <w:t>En son arrêt E-7625/2008 du 16 juin 2011, le Tribunal a procédé à une analyse détaillée de la situation en Afghanistan (cf. ATAF 2011/7 consid. 9.3) et a abouti à la conclusion que la situation sécuritaire dans le pays s'est péjorée de façon généralisée au cours de ces dernières années, y compris dans les centres urbains et la ville de Kaboul (cf. ATAF précité consid. 9.7.5). Il en va de même concernant la situation humanitaire où il y a cependant lieu d'opérer une distinction entre les zones rurales et les zones urbaines. Si, dans leur grande majorité, les zones rurales connaissent une situation particulièrement précaire, celle prévalant à Kaboul s'avère meilleure, la situation sécuritaire s'y étant stabilisée au cours de ces dernières années (cf. ATAF précité consid. 9.8 - 9.9). Le Tribunal a considéré que l'exécution du renvoi vers Kaboul pouvait être raisonnablement exigée pour les jeunes hommes en bonne santé si les conditions strictes énoncées dans la JICRA 2003 n° 10 sont respectées. En particulier, l'existence d'un solide réseau social à même d'accueillir et de soutenir la réinsertion de la personne concernée doit être établie, sans quoi les conditions de vie difficiles auxquelles elle serait amenée à faire face la conduiraient à une mise en danger concrète au sens de l'art. 83 al. 4 LEtr. Le Tribunal a laissé ouverte la question portant sur les villes de Herat et Mazar-e-Sharif (cf. ATAF précité consid. 9.9.1). Le Tribunal a analysé, dans un arrêt D-2312/2009 du 28 octobre 2011, la situation prévalant dans la ville de Herat (cf. ATAF 2011/38 consid. 4.3.3). Selon cette jurisprudence, la situation dans la ville de Herat doit être considérée, à teneur de rapports récents, et ce, en comparaison avec d'autres villes afghanes, comme relativement calme. Certes, les activités des insurgés ont augmenté depuis 2009, à tout le moins dans dix arrondissements de la province de Herat, mais le nombre des attaques dans la ville est resté faible. Depuis le mois de juin 2011, aucune activité émanant des groupes armés de l'opposition n'a été signalée dans la ville. La responsabilité concernant la sécurité de la ville a été transférée, comme prévu, le 21 juillet 2011, par les forces internationales (International Security Assistance Force) aux troupes de sécurité afghanes et le processus de transfert devrait prendre fin au terme de l'année 2014. Cela exposé, les frappes et attaques enregistrées ont visé la plupart du temps les forces de sécurité afghanes et internationales tandis que les civils n'ont été touchés que très rarement et seulement par hasard. Sur la base de ces considérations, la situation dans la ville de Herat a été considérée comme comparable à celle régnant à Kaboul (cf. ATAF 2011/38 consid. 4.3.3.1). Le caractère exigible de l'exécution d'un renvoi vers la ville de Herat doit être ainsi admis aux mêmes conditions que celles prévalant pour la ville de Kaboul.</w:t>
      </w:r>
    </w:p>
    <w:p>
      <w:r>
        <w:rPr>
          <w:b/>
        </w:rPr>
        <w:t>E. 8.2</w:t>
      </w:r>
    </w:p>
    <w:p>
      <w:r>
        <w:t>En l'espèce, il ne ressort du dossier aucun élément dont l'on pourrait inférer que l'exécution du renvoi du recourant à E._______, localité située à proximité de la ville de Herat, impliquerait une mise en danger concrète de celui-ci. Son jeune âge, l'absence de problème de santé particulier et l'expérience professionnelle (...) du recourant constituent des facteurs favorables à sa réinstallation dans cette ville. Selon ses déclarations, le recourant dispose d'un réseau familial important à Herat, où vivent ses parents, deux soeurs, et deux frères. Il est censé pouvoir compter à son retour à Herat sur l'aide des membres de sa famille pour lui donner accès à un logement et au minimum vital.</w:t>
      </w:r>
    </w:p>
    <w:p>
      <w:r>
        <w:rPr>
          <w:b/>
        </w:rPr>
        <w:t>E. 8.3</w:t>
      </w:r>
    </w:p>
    <w:p>
      <w:r>
        <w:t>L'exécution du renvoi apparaît ainsi d'emblée comme raisonnablement exigible au sens de l'art. 83 al. 4 LEtr.</w:t>
      </w:r>
    </w:p>
    <w:p>
      <w:r>
        <w:rPr>
          <w:b/>
        </w:rPr>
        <w:t>E. 9</w:t>
      </w:r>
    </w:p>
    <w:p>
      <w:r>
        <w:t>L'exécution n'est pas possible lorsque l'étranger ne peut pas quitter la Suisse pour son Etat d'origine, son Etat de provenance ou un Etat tiers, ni être renvoyé dans un de ces Etats (art. 83 al. 2 LEtr). Le recourant étant en mesure d'entreprendre toute démarche nécessaire auprès de la représentation de son pays d'origine en vue de l'obtention de documents de voyage lui permettant de quitter la Suisse, l'exécution du renvoi ne se heurte pas à des obstacles insurmontables d'ordre technique et s'avère donc également possible au sens de l'article précité (cf. ATAF 2008/34 consid. 12 p. 513-515).</w:t>
      </w:r>
    </w:p>
    <w:p>
      <w:r>
        <w:rPr>
          <w:b/>
        </w:rPr>
        <w:t>E. 10</w:t>
      </w:r>
    </w:p>
    <w:p>
      <w:r>
        <w:t>Cela étant, l'exécution du renvoi doit être déclarée conforme aux dispositions légales.</w:t>
      </w:r>
    </w:p>
    <w:p>
      <w:r>
        <w:rPr>
          <w:b/>
        </w:rPr>
        <w:t>E. 11</w:t>
      </w:r>
    </w:p>
    <w:p>
      <w:r>
        <w:t>Il ressort de ce qui précède que le recours doit être rejeté. Désormais manifestement infondé, eu égard à la récente jurisprudence du Tribunal (cf. ATAF 2011/38), dit recours est rejeté dans une procédure à juge unique, avec l'approbation d'un second juge (art. 111 let. e LAsi). Il est dès lors renoncé à un échange d'écritures (art. 111a al. 1 LAsi).</w:t>
      </w:r>
    </w:p>
    <w:p>
      <w:r>
        <w:rPr>
          <w:b/>
        </w:rPr>
        <w:t>E. 12</w:t>
      </w:r>
    </w:p>
    <w:p>
      <w:r>
        <w:t>Au vu de l'issue de la cause, il y a lieu de mettre les frais de procédure à la charge du recourant (art. 63 al. 1 PA). Enfin, il n'est pas alloué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