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D-4836/2025 vom 10. April 2025</w:t>
      </w:r>
    </w:p>
    <w:p>
      <w:r>
        <w:t>Bundesverwaltungsgericht, 2025-04-10, IT</w:t>
      </w:r>
    </w:p>
    <w:p>
      <w:r>
        <w:rPr>
          <w:b/>
        </w:rPr>
        <w:t xml:space="preserve">Quelle: </w:t>
      </w:r>
      <w:r>
        <w:t>https://mcp.opencaselaw.ch/entscheid/bvger_D-4836_2025_d20250410</w:t>
      </w:r>
    </w:p>
    <w:p>
      <w:r>
        <w:t>FR: TAF D-4836/2025 du 10 avril 2025</w:t>
      </w:r>
    </w:p>
    <w:p>
      <w:r>
        <w:t>IT: TAF D-4836/2025 del 10 aprile 2025</w:t>
      </w:r>
    </w:p>
    <w:p>
      <w:pPr>
        <w:pStyle w:val="Heading2"/>
      </w:pPr>
      <w:r>
        <w:t>Regeste</w:t>
      </w:r>
    </w:p>
    <w:p>
      <w:r>
        <w:t>Asilo ed allontanamento | Revisione (asilo ed allontanamento); sentenza del Tribunale amministrativo federale D-3501/2024 del 10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revisione è inammissibile.</w:t>
      </w:r>
    </w:p>
    <w:p>
      <w:r>
        <w:rPr>
          <w:b/>
        </w:rPr>
        <w:t>E. 2</w:t>
      </w:r>
    </w:p>
    <w:p>
      <w:r>
        <w:t>Le spese processuali di fr. 2000.– sono poste a carico dell’istante e sono prelevate sull'anticipo spese di medesimo importo versato in data 28 luglio 2025.</w:t>
      </w:r>
    </w:p>
    <w:p>
      <w:r>
        <w:rPr>
          <w:b/>
        </w:rPr>
        <w:t>E. 3</w:t>
      </w:r>
    </w:p>
    <w:p>
      <w:r>
        <w:t>Questa sentenza è comunicata al richiedente, alla SEM e all'autorità can- tonale competente.</w:t>
      </w:r>
    </w:p>
    <w:p>
      <w:r>
        <w:t>La presidente del collegio: Il cancelliere:</w:t>
      </w:r>
    </w:p>
    <w:p>
      <w:r>
        <w:t>Giulia Marelli Randy Mulangala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