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D-4835/2013 vom 20. September 2013</w:t>
      </w:r>
    </w:p>
    <w:p>
      <w:r>
        <w:t>Bundesverwaltungsgericht, 2013-09-20, DE</w:t>
      </w:r>
    </w:p>
    <w:p>
      <w:r>
        <w:rPr>
          <w:b/>
        </w:rPr>
        <w:t xml:space="preserve">Quelle: </w:t>
      </w:r>
      <w:r>
        <w:t>https://mcp.opencaselaw.ch/entscheid/bvger_D-4835_2013</w:t>
      </w:r>
    </w:p>
    <w:p>
      <w:r>
        <w:t>FR: TAF D-4835/2013 du 20 septembre 2013</w:t>
      </w:r>
    </w:p>
    <w:p>
      <w:r>
        <w:t>IT: TAF D-4835/2013 del 20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geht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fernhalten (vgl. Urteil des Bundesverwaltungsgerichts D-5595/2011 vom 13. Februar 2013 E. 5.6.3 mit weiteren Hinweisen). Es muss also aufgrund der Um­stände des Einzelfalls ermittelt werden, ob die Furcht vor Verfolgung begrün­det ist.</w:t>
      </w:r>
    </w:p>
    <w:p>
      <w:r>
        <w:rPr>
          <w:b/>
        </w:rPr>
        <w:t>E. 4.2</w:t>
      </w:r>
    </w:p>
    <w:p>
      <w:r>
        <w:t>Das BFM hat in ausführlichen Erwägungen dargelegt, weshalb in der zu beurteilenden Fallkonstellation eine erfolgte oder zu befürchtende asylre­levante Reflexverfolgung zu verneinen sei. Auf diese Ausführungen kann vorab und vollumfänglich verwiesen werden. Es trifft in der Tat zu, dass das politische Engagement des Vaters respektive Ehemanns der Be­schwerdeführenden in keiner Weise substanziiert und überdies ver­sucht wurde, dessen behördliche Verfolgung mit Gerichtsdokumenten zu belegen, welche sich gemäss der überzeugenden Analyse des BFM als Fäl­schungen erwiesen haben. Stichhaltige Gegenargumente ist die Be­schwerdeführerin im Rahmen des rechtlichen Gehörs schuldig geblieben (A 24/23 Antworten 184 ff.). Entsprechend ist fraglich, ob die Beschwerde­führenden überhaupt Angehörige einer aus politischen Gründen durch die türkischen Sicherheitskräfte gesuchten Person sind. Die durch nichts unter­mauerte Behauptung in der Beschwerde, die türkischen Behörden hät­ten bei den griechischen ein Auslieferungsbegehren gestellt, rechtfer­tigt mangels Substanziierung keine differenzierte Beurteilung. Ohnehin kann das genaue politische Profil des Ehemannes der Beschwerdeführe­rin ver­bunden mit allfälligen Behelligungen durch die türkischen Behörden schon insofern offenbleiben, als die Beschwerdeführerin für den Zeitraum vor der Ausreise nach Griechenland lediglich Nachfragen der türkischen Be­hörden, welchen offensichtlich keine Asylrelevanz zukam, geltend machte (A 24/23 Antworten 88 ff.). Dass sich dieses "Verfolgungsmuster" im Falle der Rückkehr in die Türkei asylrelevant akzentuieren würde, geht aus den Akten in keiner Weise hervor. Vielmehr ist diesen zu entnehmen, dass sich die Beschwerdeführenden in Griechenland im Jahr 2013 regu­lär türkische Reisedokumente beschaffen konnten und insoweit - wie die Vorinstanz zu Recht festhält - als unbescholtene Bürger gelten dürften. Ab­ge­sehen davon ist den Aussagen der Beschwerdeführerin anlässlich der Anhörung insgesamt nicht zu entnehmen, sie befürchte in subjektiver Hin­sicht weitergehende Massnahmen im Falle der Rückkehr in die Türkei. Der befragte Sohn der Beschwerdeführerin gab denn auch zu Protokoll, er habe keine Angst vor einer Rückkehr in sein Heimatland (A 26/9 Ant­wort 55). In der Beschwerde fehlen konzise Vorbringen, welche zu einer an­deren Sichtweise als derjenigen der Vorinstanz zu führen vermögen. Ein allfälliges politisches Engagement der Beschwerdeführerin in Griechen­land dürfte kaum mit einer persönlichen Exponierung verbunden gewesen sein, auch wenn sie angab, in einer der PKK gehörenden Liegen­schaft im Lager (...) gelebt zu haben (vgl. A 24/23 Antworten 93 und 127). Für die Türkei machte sie kein politisches Engagement geltend. Die beiden eingereichten Internet-Artikel beziehen sich auf die Situation in Griechenland und nicht die Türkei; sollten die Beschwerdeführenden eine Rückkehr dorthin bevorzugen, wäre im Sinne der vorinstanzlichen Er­wä­gungen von grundsätzlich genügendem staatlichem Schutz vor rechts­ra­dikalen Übergriffen und generell nicht von einer asylrelevanten Ge­fährdung auszugehen (vgl. auch A 25/13 Antworten 91 ff.). Schliesslich ist nicht konkret ersichtlich, inwiefern allfällige Beeinflussungsversuche des konservativen (Gross)Vaters der Beschwerdeführenden in der Türkei Asylrelevanz zukommen könnte, da ein behördliches Einschreiten gegen derartige Versuche im Westen des Landes naheliegend wäre.</w:t>
      </w:r>
    </w:p>
    <w:p>
      <w:r>
        <w:rPr>
          <w:b/>
        </w:rPr>
        <w:t>E. 4.3</w:t>
      </w:r>
    </w:p>
    <w:p>
      <w:r>
        <w:t>Unter Berücksichtigung der gesamten Umstände folgt, dass die Be­schwerdeführenden keine Gründe nach Art. 3 AsylG nachweisen oder glaub­haft machen konnten. Die Vorinstanz hat die Flüchtlingseigen­schaft dem­nach zu Recht verneint und das Asylgesuch abgelehnt. An dieser Ein­schät­zung vermögen die weiteren Ausführungen in der Eingabe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 (zur Situation in den Provinzen Hakkari und Sir­nak vgl. BVGE 2013/2 vom 15. März 2013).</w:t>
      </w:r>
    </w:p>
    <w:p>
      <w:r>
        <w:rPr>
          <w:b/>
        </w:rPr>
        <w:t>E. 6.5.2</w:t>
      </w:r>
    </w:p>
    <w:p>
      <w:r>
        <w:t>Die Beschwerdeführerin war vor der Ausreise nach Griechenland in H._______ ansässig. In ihrem Heimatland leben zahlreiche Verwandte, und zwar auch in H._______. Dass diese nicht gewillt wären, sie bei der Wiederan­siedlung zu unterstützen, erscheint als blosse Schutzbehauptung (A 24/23 Antworten 14 und 139 ff.). Eine entscheidrelevante Beeinträchti­gung ihrer Lebensführung wegen ihres Vaters ist aufgrund der Fallum­stände nicht ersichtlich, wobei auf die vorinstanzlichen Erwägungen zu die­sem Punkt zu verweisen ist. Die befragten Kinder der Beschwerdeführe­rin sind mehrsprachig aufgewachsen und dürften keine substanziellen Integrationsprobleme haben; sollte sich die Beschwerdeführe­rin - so auch wegen des in Griechenland zurückgebliebe­nen Ehemannes und der jüngeren Kinder - zu einer Rück­kehr in dieses Land entscheiden, käme ein dortiger Aufenthalt wohl nach wie vor in Betracht. Hinweise auf akut behandlungsbedürftige Krankhei­ten sind den Akten keine zu entnehmen. Es ist entsprechend nicht davon aus­zugehen, dass die Beschwerdeführenden nach der Rückkehr in die Tür­kei oder allenfalls auch nach Griechenland dort in eine exis­tenz­gefähr­dende Situation ge­raten.</w:t>
      </w:r>
    </w:p>
    <w:p>
      <w:r>
        <w:rPr>
          <w:b/>
        </w:rPr>
        <w:t>E. 6.5.3</w:t>
      </w:r>
    </w:p>
    <w:p>
      <w:r>
        <w:t>Nach dem Gesagten erweist sich der Vollzug der Wegweisung auch als zumutbar.</w:t>
      </w:r>
    </w:p>
    <w:p>
      <w:r>
        <w:rPr>
          <w:b/>
        </w:rPr>
        <w:t>E. 6.6</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