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D-4833/2010 vom 23. März 2012</w:t>
      </w:r>
    </w:p>
    <w:p>
      <w:r>
        <w:t>Bundesverwaltungsgericht, 2012-03-23, FR</w:t>
      </w:r>
    </w:p>
    <w:p>
      <w:r>
        <w:rPr>
          <w:b/>
        </w:rPr>
        <w:t xml:space="preserve">Quelle: </w:t>
      </w:r>
      <w:r>
        <w:t>https://mcp.opencaselaw.ch/entscheid/bvger_D-4833_2010</w:t>
      </w:r>
    </w:p>
    <w:p>
      <w:r>
        <w:t>FR: TAF D-4833/2010 du 23 mars 2012</w:t>
      </w:r>
    </w:p>
    <w:p>
      <w:r>
        <w:t>IT: TAF D-4833/2010 del 23 marzo 2012</w:t>
      </w:r>
    </w:p>
    <w:p>
      <w:pPr>
        <w:pStyle w:val="Heading2"/>
      </w:pPr>
      <w:r>
        <w:t>Regeste</w:t>
      </w:r>
    </w:p>
    <w:p>
      <w:r>
        <w:t>Asile et renvoi</w:t>
      </w:r>
    </w:p>
    <w:p>
      <w:pPr>
        <w:pStyle w:val="Heading2"/>
      </w:pPr>
      <w:r>
        <w:t>Erwägungen</w:t>
      </w:r>
    </w:p>
    <w:p>
      <w:r>
        <w:rPr>
          <w:b/>
        </w:rPr>
        <w:t>E. 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phrase LAsi). Il y a lieu de tenir compte des motifs de fuite spécifiques aux femmes (art. 3 al. 2, 2ème phrase LAsi). Quiconque demande l'asile (recourant)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Les intéressés ont déclaré avoir été victimes de discriminations et d'actes de malveillance en raison de leur appartenance ethnique. Les pressions sur la famille de la part de la population albanaise se seraient intensifiées depuis le mois de (...) 2010. Le père de famille, réclamant alors la rémunération du travail qu'il aurait effectué pour des Albanais, n'aurait pas été payé et aurait été battu par quatre individus, se faisant voler son porte-monnaie et sa carte d'identité serbe. Roué de coups, il serait rentré chez lui, mais n'aurait pas osé porter plainte. Le (...) avril 2010, ces mêmes quatre individus auraient pénétré nuitamment dans la maison des intéressés. Ils auraient menacé le père, lui introduisant un pistolet dans la bouche, et dévêtu la mère pour la violer. Importunés par les cris des enfants, ils n'auraient pas pu passer à l'acte, menaçant dans leur fuite le père de mort s'il les dénonçait à la police. Deux semaines plus tard, les intéressés auraient quitté le Kosovo pour la Suisse, via la Serbie, un oncle maternel du père, résidant aux Etats-Unis, ayant financé leur voyage à hauteur de 10'000 Euros. Ils n'auraient pas été contrôlés durant leur périple. Indépendamment de la question de leur vraisemblance, les motifs d'asile invoqués par les recourants ne satisfont pas aux exigences requises pour la reconnaissance de la qualité de réfugié selon l'art. 3 LAsi. En effet, comme déjà constaté par le Tribunal, les autorités kosovares ne tolèrent ni ne cautionnent les exactions commises à l'encontre de membres de minorités ethniques, qu'elles soient le fait d'agents étatiques ou de particuliers, et poursuivent les auteurs de tels agissements (arrêts du Tribunal D-3696/2009 du 1er février 2011 consid 3.2 et E-4890/2006 du 16 octobre 2009 consid. 3.1.2). Il incombe dans ces conditions aux intéressés de s'adresser en premier lieu aux autorités de leur pays pour leur demander protection, avant de solliciter une protection internationale, laquelle revêt un caractère subsidiaire lorsque la protection nationale existe et peut être requise sans restriction particulière. Ainsi, on peut en principe attendre d'un requérant d'asile qu'il épuise dans son propre pays les possibilités de trouver une protection adéquate avant de solliciter celle d'un État tiers (cf. JICRA 2006 n° 18 consid. 10.2). Faute de contenir des arguments susceptibles de remettre en cause le bien-fondé de la décision du 4 juin 2010, le recours, en ce qu'il concerne la qualité de réfugié et l'octroi de l'asile, doit partant être rejeté.</w:t>
      </w:r>
    </w:p>
    <w:p>
      <w:r>
        <w:rPr>
          <w:b/>
        </w:rPr>
        <w:t>E. 3</w:t>
      </w:r>
    </w:p>
    <w:p>
      <w:r>
        <w:t>Lorsqu'il rejette la demande d'asile ou qu'il refuse d'entrer en matière à ce sujet, l'ODM prononce, en règle générale, le renvoi de Suisse et en ordonne l'exécution (art. 44 al. 1 LAsi). Aucune exception à la règle générale du renvoi n'étant en l'occurrence réalisée au regard de l'art. 32 de l'ordonnance 1 du 11 août 1999 sur l'asile relative à la procédure (OA 1, RS 142.311), le Tribunal est tenu, de par la loi, de confirmer cette mesure.</w:t>
      </w:r>
    </w:p>
    <w:p>
      <w:r>
        <w:rPr>
          <w:b/>
        </w:rPr>
        <w:t>E. 4</w:t>
      </w:r>
    </w:p>
    <w:p>
      <w:r>
        <w:t>L'exécution du renvoi est ordonnée si elle est licite, raisonnablement exigible et possible (art. 44 al. 2 LAsi). Elle est réglée par l'art. 83 de la loi fédérale sur les étrangers du 16 décembre 2005 (LEtr, RS 142.20), entré en vigueur le 1er janvier 2008. Les conditions posées par la disposition précitée, empêchant l'exécution du renvoi (illicéité, inexigibilité ou impossibilité), sont de nature alternative. Il suffit que l'une d'entre elles soit réalisée pour que le renvoi soit inexécutable (ATAF 2009/51 consid. 5.4 p. 748). 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(cf. ATAF 2007/10 consid. 5.1 ; JICRA 2003 n° 24 p. 154ss ; JICRA 2002 n° 11 consid. 8a). En revanche, les difficultés socio-économiques qui sont le lot habituel de la population locale, en particulier en matière de pénurie de logements et d'emplois, ne suffisent pas en soi à réaliser une telle mise en danger (ATAF 2008/34 consid. 11.2.2).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p. 756 s., ATAF 2009/2 consid. 9.2.1 p. 21, ATAF 2008/34 consid. 11.1 p. 510 s. et ATAF 2007/10 consid. 5.1 p. 111 et réf. cit).</w:t>
      </w:r>
    </w:p>
    <w:p>
      <w:r>
        <w:rPr>
          <w:b/>
        </w:rPr>
        <w:t>E. 4.1</w:t>
      </w:r>
    </w:p>
    <w:p>
      <w:r>
        <w:t>En l'occurrence, le Tribunal ne saurait admettre que la situation générale prévalant actuellement au Kosovo est en soi constitutive d'un empêchement à la réinstallation des recourants. En effet, il est notoire que ce pays, dont l'indépendance a été reconnue par la Suisse le 27 février 2008,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(cf. ATAF 2010/41). Au demeurant, par décision du 6 mars 2009, le Conseil fédéral a ajouté le Kosovo à la liste des Etats sûrs ("safe country"), avec effet au 1er avril 2009. L'exécution du renvoi des recourants est, sous cet angle, raisonnablement exigible.</w:t>
      </w:r>
    </w:p>
    <w:p>
      <w:r>
        <w:rPr>
          <w:b/>
        </w:rPr>
        <w:t>E. 4.2</w:t>
      </w:r>
    </w:p>
    <w:p>
      <w:r>
        <w:t>Il s'agit dès lors de déterminer, si, au vu de la situation personnelle des intéressés, l'exécution du renvoi est également raisonnablement exigible. Les recourants appartiennent à la minorité ashkali. S'agissant de la situation particulière des minorités au Kosovo, le Tribunal a confirmé la jurisprudence de la Commission suisse en matière d'asile (JICRA 2006 n° 10 et n° 11), selon laquelle l'exécution du renvoi des Roms, Ashkalis et "Égyptiens" albanophones est, en règle générale, raisonnablement exigible pour autant qu'un examen individualisé, prenant en considération un certain nombre de critères (état de santé, âge, capacité de subvenir à ses besoins, possibilité concrète de réinstallation dans des conditions économiques décentes, réseau social et familial sur place) ait été effectué, au besoin par l'entremise de l'Ambassade de Suisse au Kosovo (ATAF 2007/10 consid. 5.3 et 5.4 p. 111 ss; arrêt du Tribunal D-3696/2009 du 1er février 2011 consid 8.2). En l'absence d'un tel examen, la question de savoir si l'exécution du renvoi au Kosovo des membres de la minorité ashkali est raisonnablement exigible ou pas ne peut, en principe, être tranchée avec un degré suffisant de certitude (arrêt du Tribunal E-1072/2011 du 13 avril 2011; JICRA 2006 n° 10 consid. 5.4 p. 107 ss). Le prononcé d'exécution du renvoi de première instance doit alors être annulé et l'affaire renvoyée à l'autorité intimée pour complément d'instruction, à moins que les intéressés aient entretenu des relations particulières avec la majorité albanaise (ATAF 2007/10 précité, ibidem, et jurisprudence citée). Il s'ensuit que les chiffres 4 et 5 de la décision de l'ODM du 4 juin 2010 doivent être annulés pour constatation incomplète de faits pertinents au sens de l'art. 49 let. b PA. La cause doit partant être renvoyée à l'autorité intimée pour complément d'instruction (cf. art. 61 al. 1 PA).</w:t>
      </w:r>
    </w:p>
    <w:p>
      <w:r>
        <w:rPr>
          <w:b/>
        </w:rPr>
        <w:t>E. 5.1</w:t>
      </w:r>
    </w:p>
    <w:p>
      <w:r>
        <w:t>Les intéressés ayant succombé sur la question de la reconnaissance de la qualité de réfugié et de l'octroi de l'asile ainsi que sur le principe du renvoi, il y aurait lieu de mettre des frais de procédure réduits à leur charge (art. 63 al. 1 PA et art. 2 et 3 du règlement du 21 février 2008 concernant les frais, dépens et indemnités fixés par le Tribunal administratif fédéral [FITAF, RS 173.320.2]). Il convient toutefois de renoncer à leur perception, leur demande d'assistance judiciaire partielle ayant été admise par décision incidente du 20 juillet 2010.</w:t>
      </w:r>
    </w:p>
    <w:p>
      <w:r>
        <w:rPr>
          <w:b/>
        </w:rPr>
        <w:t>E. 5.2</w:t>
      </w:r>
    </w:p>
    <w:p>
      <w:r>
        <w:t>Conformément à l'art. 7 al. 1 et 2 FITAF, la partie qui a obtenu entièrement ou partiellement gain de cause a droit à des dépens pour les frais nécessaires qui lui ont été occasionnés par le litige. Lorsqu'elle ne fait pas parvenir une note détaillée à ce sujet avant le prononcé, l'autorité de recours les fixe d'office et selon sa propre appréciation (art. 14 al. 2 FITAF). Les intéressés ayant eu partiellement gain de cause, il y a lieu de leur attribuer des dépens réduits. En l'absence de note de frais, le Tribunal fixe les dépens réduits ex aequo et bono à Fr. 300.--, compte tenu du degré de complexité de la cause et du travail accompli in casu.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