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D-4830/2009 vom 6. Dezember 2010</w:t>
      </w:r>
    </w:p>
    <w:p>
      <w:r>
        <w:t>Bundesverwaltungsgericht, 2010-12-06, DE</w:t>
      </w:r>
    </w:p>
    <w:p>
      <w:r>
        <w:rPr>
          <w:b/>
        </w:rPr>
        <w:t xml:space="preserve">Quelle: </w:t>
      </w:r>
      <w:r>
        <w:t>https://mcp.opencaselaw.ch/entscheid/bvger_D-4830_2009</w:t>
      </w:r>
    </w:p>
    <w:p>
      <w:r>
        <w:t>FR: TAF D-4830/2009 du 6 décembre 2010</w:t>
      </w:r>
    </w:p>
    <w:p>
      <w:r>
        <w:t>IT: TAF D-4830/2009 del 6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Die Beschwerdeführerin ist daher zur Einreichung der Beschwerde legitimiert (Art. 105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EMARK 2004 Nr. 1 E. 5 S.4ff.).</w:t>
      </w:r>
    </w:p>
    <w:p>
      <w:r>
        <w:rPr>
          <w:b/>
        </w:rPr>
        <w:t>E. 4</w:t>
      </w:r>
    </w:p>
    <w:p>
      <w:r>
        <w:t>Das BFM erachtete die Vorbringen der Beschwerdeführerin aufgrund erheblicher Unstimmigkeiten als den Anforderungen an die Glaubhaftmachung gemäss Art. 7 AsylG nicht genügend. Der Einschätzung des BFM, an den von der Beschwerdeführerin geltend gemachten Ausreisegründen, wonach aufgrund der Ausstellung eines FLEC-Mitgliedschaftsausweises auf ihren Namen die Gefahr bestehe, dass sie von den staatlichen Behörden verfolgt werden könnte, bestünden ernsthafte Zweifel, ist beizupflichten. Eine Überprüfung der Akten ergibt, dass die Vorbringen kein stimmiges Bild vermitteln. Das BFM hat aus zutreffenden Gründen die Vorbringen der Beschwerdeführerin als den Anforderungen an die Glaubhaftigkeit nicht genügend qualifiziert.</w:t>
      </w:r>
    </w:p>
    <w:p>
      <w:r>
        <w:rPr>
          <w:b/>
        </w:rPr>
        <w:t>E. 4.1</w:t>
      </w:r>
    </w:p>
    <w:p>
      <w:r>
        <w:t>Zwar ist zunächst nicht gänzlich auszuschliessen, dass der Freund der Beschwerdeführerin gleichzeitig sowohl für die FLEC als auch für die Regierung tätig war und dass er aufgrund des Charakters der geheimdienstlichen Tätigkeit selbst sehr nahe stehende Personen, wie seine Freundin, nicht im Detail über seine diesbezüglichen Aktivitäten informierte. Jedoch erscheint die gänzliche Unkenntnis der Beschwerdeführerin aufgrund ihrer Angaben, wonach sie vor der Ausreise zehn Tage mit ihrem Freund in H._______ verbracht habe, nicht nachvollziehbar. Vielmehr wäre zu erwarten gewesen, dass sie sich spätestens zu diesem Zeitpunkt - zumal beide dort auch nicht mehr unmittelbar gefährdet waren - eingehend erkundigt hätte. Aber selbst wenn von einer Tätigkeit ihres Freundes für die FLEC ausgegangen würde, ist nicht erklärbar, weshalb er für die Beschwerdeführerin eine Mitgliedskarte hätte ausstellen lassen sollen. So widerspricht es zunächst der Natur des Anwerbens und der Vorgehensweise von FLEC-Mitgliedern, als Erstes einen Mitgliedschaftsausweis auszustellen und erst im Nachhinein über die (bereits erfolgte) Mitgliedschaft zu informieren. Vielmehr müsste vor der Ausweisausstellung zunächst die Überzeugungsarbeit hinsichtlich der Ideale und des Gedankenguts der FLEC geleistet werden und anschliessend - beispielsweise in Form einer Prüfung - die Geeignetheit der angeworbenen Person festgestellt werden. Weiter erweist sich ihre Vermutung, er habe Geld dafür erhalten, als untauglicher Versuch, den Sachverhalt asylrelevant anzupassen, zumal nicht einzusehen ist, weshalb er seine Freundin in solche Gefahr bringen sollte und ihm zudem zur Geldbeschaffung mit Sicherheit adäquatere Möglichkeiten offen gestanden wären. Ebenso wenig lässt sich die auf Beschwerdeebene formulierte Vermutung ihres Rechtsvertreters - der Freund habe sie wohl nicht aufklären wollen, weil er Angst hatte, sie würde Informationen weiter geben - mit dem ausgestellten Mitgliedschaftsausweis in Einklang bringen, zumal dadurch das Risiko einer Informationsweitergabe lediglich erhöht worden wäre. Darüber hinaus erweisen sich die diversen Antwortvarianten hinsichtlich der Reisekosten als ungereimt, da diese jeweils numerisch inkorrekt wiedergegeben worden sind. Angesichts ihrer (erfolgreichen) Tätigkeit als (Beruf) ist jedoch davon auszugehen, dass sie im Rechnen geübt ist. Ferner ist unverständlich, wieso ihr Freund sie anlässlich seiner Flucht nicht angerufen hatte und statt dessen dem Pastor einen Brief sandte. Ihr auf Beschwerdeebene erfolgter Erklärungsversuch, wonach er sie wahrscheinlich nicht erschrecken haben wolle, wirkt realitätsfremd, womit insgesamt der Eindruck entsteht, ihre Darstellungen seien gesucht und entsprächen nicht den tatsächlichen Geschehnissen.</w:t>
      </w:r>
    </w:p>
    <w:p>
      <w:r>
        <w:rPr>
          <w:b/>
        </w:rPr>
        <w:t>E. 4.2</w:t>
      </w:r>
    </w:p>
    <w:p>
      <w:r>
        <w:t>Die vorgenannten Zweifel am Wahrheitsgehalt der Schilderungen erhärten sich, als die Beschwerdeführerin im Übrigen widersprüchliche Aussagen macht; ihre an der Anhörung zu Protokoll gegebenen Aussagen, ein Arbeitskollege ihres Freundes sei aufgrund seiner Doppeltätigkeit verhaftet worden, stellen zu ihren Ausführungen an der Anhörung, wonach ihr Freund von einem Arbeitskollegen belauscht worden sei, einen klaren Widerspruch dar. Ihre Argumentation auf Beschwerdeebene, sie könne sich diese Ungereimtheit nicht erklären, vermag die Zweifel nicht auszuräumen. So hatte sie an der Erstbefragung angegeben, den Dolmetscher gut verstanden zu haben, und mit ihrer Unterschrift das Protokoll der Erstanhörung und somit die Richtigkeit ihrer Aussagen bestätigt. Des Weiteren muten ihre Ausführungen, wonach sie am Flughafen im Gegensatz zu ihrem Freund nicht erwischt worden sei, weil sie mit dem Reisepass der Ehefrau des Schleppers gereist und anschliessend von diesem bis nach D._______ begleitet worden sei, seltsam an; sie sind jedenfalls kaum nachvollziehbar und tragen den Charakter einer reinen Schutzbehauptung. Insgesamt ist festzuhalten, dass - obwohl ihre Aussagen nicht von eklatanten Widersprüchen geprägt sind - die einzelnen Punkte jeweils ein Glied in einer Kette von nicht in sich stimmigen Ausführungen darstellen, womit der Sachvortrag insgesamt konstruiert wirkt und somit den Anforderungen an die Glaubhaftmachung gemäss Art. 7 AsylG nicht standhält. Abschliessend gilt es anzumerken, dass - aufgrund der Aktenlage - ungeachtet der Frage der Glaubhaftigkeit der Vorbringen die alleinige Existenz des FLEC-Mitgliedschaftsausweises keine asylrechtlich relevante Verfolgung zu begründen vermöchte, zumal die Beschwerdeführerin keinerlei Tätigkeiten für die FLEC ausgeführt habe, geschweige denn ihr diese Organisation ein Begriff sei und sie über deren Struktur, Aufbau und Zielrichtung keinerlei Angaben zu machen im Stande war.</w:t>
      </w:r>
    </w:p>
    <w:p>
      <w:r>
        <w:rPr>
          <w:b/>
        </w:rPr>
        <w:t>E. 4.3</w:t>
      </w:r>
    </w:p>
    <w:p>
      <w:r>
        <w:t>Die Beschwerdeführerin konnte mithin keine Verfolgung im Sinne von Art. 3 AsylG nachweisen oder zumindest glaubhaft machen. Sie erfüllt damit die Flüchtlingseigenschaft nicht, weshalb das BFM das Asylgesuch zu Recht abgelehnt hat.</w:t>
      </w:r>
    </w:p>
    <w:p>
      <w:r>
        <w:rPr>
          <w:b/>
        </w:rPr>
        <w:t>E. 5</w:t>
      </w:r>
    </w:p>
    <w:p>
      <w:r>
        <w:t>Lehnt das Bundesamt ein Asylgesuch ab oder tritt es darauf nicht ein, so verfügt es in der Regel die Wegweisung aus der Schweiz und ordnet den Vollzug an (Art. 44 Abs. 1 AsylG). Da die Beschwerdeführerin weder über eine ausländerrechtliche Bewilligung noch über einen Anspruch auf Erteilung einer solchen verfügt, wurde die Wegweisung zu Recht angeordnet (vgl.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in Gefahr läuft, zur Ausreise in ein solches Land gezwungen zu werden (Art. 5 Abs. 1 AsylG; vgl. ebenso Art. 33 Abs. 1 des Abkommens vom 28. Juli 1951 über die Rechtsstellung der Flüchtlinge (FK, SR 0.142.30 ). Dieses flüchtlingsrechtliche Rückschiebungsverbot schützt nur Personen, die die Flüchtlingseigenschaft im Sinne von Art. 3 AsylG respektive Art. 1A FK erfüllen. Da es der Beschwerdeführerin nicht gelungen ist, eine asylrechtlich erhebliche Gefährdung nachzuweisen oder glaubhaft zu machen, kann das in Art. 5 AsylG verankerte Prinzip des flüchtlingsrechtlichen Rückschiebungsverbots vorliegend nicht zur Anwendung gelangen. Der Vollzug der Wegweisung nach Angola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Gefahr ("real risk") nachweisen oder glaubhaft machen, dass ihr im Falle einer Rückschiebung Folter oder unmenschliche Behandlung drohen würde (vgl. EMARK 2001 Nr. 16 S. 122, mit weiteren Hinweisen). Dies ist vorliegend nicht der Fall. Auch die allgemeine Menschenrechtssituation in Angola lässt den Wegweisungsvollzug nicht als unzulässig erscheinen.</w:t>
      </w:r>
    </w:p>
    <w:p>
      <w:r>
        <w:rPr>
          <w:b/>
        </w:rPr>
        <w:t>E. 6.1.3</w:t>
      </w:r>
    </w:p>
    <w:p>
      <w:r>
        <w:t>Der Vollzug der Wegweisung ist damit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Eine Situation, welche angolanische Staatsangehörige generell als Gewalt- oder de-facto-Flüchtlinge qualifizieren würde, lässt sich aufgrund der heutigen Situation in Angola nicht bejahen. Indes wird gemäss der in EMARK 2004 Nr. 32 fest gehaltenen und vom Bundesverwaltungsgericht weiter geführten Praxis der Schweizerischen Asylrekurskommission (ARK) - da seit Ergehen dieses Urteils keine offensichtlich markante Verbesserung der humanitären Lage eingetreten ist - der Wegweisungsvollzug von Personen, die einer "Risikogruppe" (Personen mit gesundheitlichen Problemen, unbegleitete Minderjährige, Personen mit Kleinkindern, allein stehende Frauen und betagte Personen) angehören, grundsätzlich weiterhin als unzumutbar erachtet. Ausnahmsweise kann diesen Personen eine Rückkehr nach Angola zugemutet werden, wenn sie ihren letzten Wohnsitz in Luanda oder einer leicht zugänglichen Stadt der Provinzen Cuene, Huila, Namibe, Beguela, Huambo, Cuanza Sul, Cuanza Norte, Bengo und Zaire hatten und dort über ein Beziehungsnetz beziehungsweise über die finanziellen Mittel zu ihrer Existenzsicherung verfügen. Für Familien mit Kindern unter sechs Jahren und Personen mit schwer wiegenden gesundheitlichen Problemen wird der Wegweisungsvollzug ausnahmslos als unzumutbar erachtet (vgl. zum Ganzen a.a.O.E. 7.3 S. 230 f.).</w:t>
      </w:r>
    </w:p>
    <w:p>
      <w:r>
        <w:rPr>
          <w:b/>
        </w:rPr>
        <w:t>E. 6.2.2</w:t>
      </w:r>
    </w:p>
    <w:p>
      <w:r>
        <w:t>In den Akten finden sich keine konkreten Anhaltspunkte dafür, dass die Beschwerdeführerin aus individuellen Gründen wirtschaftlicher, sozialer oder gesundheitlicher Natur in eine existenzbedrohende Situation geraten würde. Sie ist noch relativ jung, (...) und soweit aktenkundig gesund. Eigenen Angaben zufolge hat sich die Beschwerdeführerin des Öfteren in E._______ aufgehalten, weshalb sie ihre Identitätskarte auch dort habe ausstellen lassen, zumal dies einfacher gewesen sei als in C._______. Mithin bestätigt sie mit dem Gesagten in indirekter Weise, in E._______ über ein gut funktionierendes Beziehungsnetz, welches über die eine Freundin - mit welcher sie dort sehr oft Kontakt gepflegt habe - hinausgehen dürfte, zu verfügen. Ebenso lässt der Umstand, dass sie als (Beruf) erfolgreich (insbesondere in E._______) tätig war, auf ein dort vorhandenes Beziehungsnetz schliessen. Ihre bisherige Tätigkeit erfolgte ihren Angaben zufolge selbständig, womit sie wirtschaftlich selbsttragend war. Somit ist davon auszugehen, dass sie bei einer Rückkehr nach Angola in E._______ über die für eine Wiedereingliederung notwendigen Kontakte verfügt und auch beruflich wieder Fuss fassen kann.</w:t>
      </w:r>
    </w:p>
    <w:p>
      <w:r>
        <w:rPr>
          <w:b/>
        </w:rPr>
        <w:t>E. 6.2.3</w:t>
      </w:r>
    </w:p>
    <w:p>
      <w:r>
        <w:t>Der Vollzug der Wegweisung erweist sich daher sowohl in genereller als auch in individueller Hinsicht als zumutbar.</w:t>
      </w:r>
    </w:p>
    <w:p>
      <w:r>
        <w:rPr>
          <w:b/>
        </w:rPr>
        <w:t>E. 6.3</w:t>
      </w:r>
    </w:p>
    <w:p>
      <w:r>
        <w:t>Schliesslich obliegt es der Beschwerdeführerin, bei der Beschaffung gültiger Reisepapiere mitzuwirken (Art. 8 Abs. 4 AsylG), weshalb der Vollzug der Wegweisung auch als möglich zu bezeichnen ist (Art. 83 Abs. 2 AuG).</w:t>
      </w:r>
    </w:p>
    <w:p>
      <w:r>
        <w:rPr>
          <w:b/>
        </w:rPr>
        <w:t>E. 6.4</w:t>
      </w:r>
    </w:p>
    <w:p>
      <w:r>
        <w:t>Insgesamt ist der durch die Vorinstanz verfügte Wegweisungsvollzug zu bestätigen. Das BFM hat diesen zu Recht als zulässig, zumutbar und möglich erachtet. Eine Anordnung der vorläufigen Aufnahme der Beschwerdeführerin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sind die Kosten der Beschwerdeführerin aufzuerlegen (Art. 63 Abs. 1 und 5 VwVG). Sie sind auf insgesamt Fr. 600.- festzusetzen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