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D-4824/2012 vom 27. September 2012</w:t>
      </w:r>
    </w:p>
    <w:p>
      <w:r>
        <w:t>Bundesverwaltungsgericht, 2012-09-27, DE</w:t>
      </w:r>
    </w:p>
    <w:p>
      <w:r>
        <w:rPr>
          <w:b/>
        </w:rPr>
        <w:t xml:space="preserve">Quelle: </w:t>
      </w:r>
      <w:r>
        <w:t>https://mcp.opencaselaw.ch/entscheid/bvger_D-4824_2012</w:t>
      </w:r>
    </w:p>
    <w:p>
      <w:r>
        <w:t>FR: TAF D-4824/2012 du 27 septembre 2012</w:t>
      </w:r>
    </w:p>
    <w:p>
      <w:r>
        <w:t>IT: TAF D-4824/2012 del 27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Vorliegend wurde die Verfügung des BFM via die Botschaft am 8. August 2012 an die Beschwerdeführerin versandt. Da sich kein Rückschein bei den Akten befindet, steht der Zeitpunkt der Eröffnung der angefochtenen Verfügung nicht fest. Die Beschwerde ist jedoch bereits am 4. September 2012 bei der Botschaft in Colombo eingegangen, weshalb die 30-tägige Beschwerdefrist (Art. 108 Abs. 1 AsylG) eingehalten ist.</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sind und ohne Weiteres darüber befunden werden kann.</w:t>
      </w:r>
    </w:p>
    <w:p>
      <w:r>
        <w:rPr>
          <w:b/>
        </w:rPr>
        <w:t>E. 1.4</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sowie Art. 52 Abs. 1 VwVG).</w:t>
      </w:r>
    </w:p>
    <w:p>
      <w:r>
        <w:rPr>
          <w:b/>
        </w:rPr>
        <w:t>E. 1.5</w:t>
      </w:r>
    </w:p>
    <w:p>
      <w:r>
        <w:t>Gestützt auf Art. 33a Abs. 2 VwVG i.V.m. Art. 6 AsylG ergeht der vorliegende Entscheid in deutscher Sprache.</w:t>
      </w:r>
    </w:p>
    <w:p>
      <w:r>
        <w:rPr>
          <w:b/>
        </w:rPr>
        <w:t>E. 2</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4.2</w:t>
      </w:r>
    </w:p>
    <w:p>
      <w:r>
        <w:t>Im vorliegenden Fall wurde die Beschwerdeführerin von der Botschaft in Colombo zu ihrem Asylgesuch vom 27. Juni 2008 nicht befragt. Indes wurde sie im Rahmen des rechtlichen Gehörs mittels Schreiben vom 28. Juni 2010 zur weiteren Konkretisierung ihrer Asylgründe aufgefordert (vgl. Bst. B hiervor). In Verbindung mit den bereits vorgängig enthaltenen Fragestellungen sowie den entsprechenden Antworten der Beschwerdeführerin dazu (vgl. Bstn. A.a und A.b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Dabei ist festzu­stellen, dass sich die Beschwerdeführerin in sämtlichen ihrer Eingaben grundsätzlich auf den gleichen Sachverhalt berief. Aufgrund der Schilderungen der Beschwerdeführerin sowie des Umstandes, dass diese im Rahmen der Gewährung des rechtlichen Gehörs keine Ergänzungen anbrachte,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einer asylsuchenden Person die Einreise zur Abklärung des Sachverhalts, wenn ihr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BVGE 2011/10 E. 3.3 S. 126).</w:t>
      </w:r>
    </w:p>
    <w:p>
      <w:r>
        <w:rPr>
          <w:b/>
        </w:rPr>
        <w:t>E. 6.1</w:t>
      </w:r>
    </w:p>
    <w:p>
      <w:r>
        <w:t>Übereinstimmend mit dem BFM ist festzustellen, dass die Beschwerdeführerin kein Gefährdungsprofil aufweist, das im heutigen Zeitpunkt mit erheblicher Wahrscheinlichkeit auf eine Verfolgung im Sinne von Art. 3 Abs. 1 AsylG schliessen liesse. Das durch die eingereichten Beweismittel belegte Verschwinden ihres Ehemanns ist zwar zweifelsohne ein tragisches Ereignis im Leben der Beschwerdeführerin. Die angeblich im Anschluss an das Verschwinden des Ehemanns einsetzenden und seither andauernden Behelligungen und Drohungen durch unbekannte Dritte sind demgegenüber nicht näher belegt. Die diesbezüglichen Ausführungen der Beschwerdeführerin sind zudem sehr vage ausgefallen. Ihren Vorbringen ist nichts Näheres hinsichtlich Intensität, Häufigkeit oder Zeitpunkt der angeblichen Drohungen oder zur Täterschaft zu entnehmen, dies obwohl sie geltend macht, schon über Jahre hinweg behelligt und bedroht zu werden. Aufgrund der Ausführungen der Beschwerdeführerin wird auch nicht klar, weshalb sich unbekannte Dritte heute noch - mithin sechs Jahre nach dessen Verschwinden - für ihren Ehemann interessieren und sie in diesem Zusammenhang regelmässig belästigen sollen. Insgesamt sind die Vorbringen der Beschwerdeführerin daher nicht geeignet, eine begründete Furcht vor ernsthaften Nachteilen im Sinne von Art. 3 AsylG glaubhaft zu machen. Die geltend gemachte Verfolgungssituation durch unbekannte Dritte fällt im Übrigen auch deshalb nicht unter Art. 3 AsylG, weil sich die Beschwerdeführerin wegen dieser Benachteiligungen an die sri-lankischen Behörden hätte wenden und diese um Schutz hätte ersuchen können, was sie gemäss Aktenlage bisher offenbar unterlassen hat.</w:t>
      </w:r>
    </w:p>
    <w:p>
      <w:r>
        <w:rPr>
          <w:b/>
        </w:rPr>
        <w:t>E. 7.1</w:t>
      </w:r>
    </w:p>
    <w:p>
      <w:r>
        <w:t>Zusammenfassend ist festzuhalten, dass es der Beschwerdeführerin nicht gelungen ist, eine Verfolgung im Sinne von Art. 3 AsylG glaubhaft zu machen. Es erübrigt sich daher, auf weitere Vorbringen in der Beschwer-de einzugehen, da diese am Ergebnis nichts zu ändern vermögen. Das BFM hat der Beschwerdeführerin demnach zu Recht und mit zutreffender Begründung die Einreise in die Schweiz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