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D-4817/2011 vom 7. August 2012</w:t>
      </w:r>
    </w:p>
    <w:p>
      <w:r>
        <w:t>Bundesverwaltungsgericht, 2012-08-07, DE</w:t>
      </w:r>
    </w:p>
    <w:p>
      <w:r>
        <w:rPr>
          <w:b/>
        </w:rPr>
        <w:t xml:space="preserve">Quelle: </w:t>
      </w:r>
      <w:r>
        <w:t>https://mcp.opencaselaw.ch/entscheid/bvger_D-4817_2011</w:t>
      </w:r>
    </w:p>
    <w:p>
      <w:r>
        <w:t>FR: TAF D-4817/2011 du 7 août 2012</w:t>
      </w:r>
    </w:p>
    <w:p>
      <w:r>
        <w:t>IT: TAF D-4817/2011 del 7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11. August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5.1</w:t>
      </w:r>
    </w:p>
    <w:p>
      <w:r>
        <w:t>Der Beschwerdeführer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in der angefochtenen Verfügung ohne Begründung von der langjährigen Praxis des Bundesverwaltungsgerichts abgewichen sei. Daher sei die angefochtene Verfügung in den Dispositionspunkten 4 und 5 infolge Verletzung des Grundsatzes des rechtlichen Gehörs aufzuheben und an die Vorinstanz zur Neubeurteilung zurückzuweisen.</w:t>
      </w:r>
    </w:p>
    <w:p>
      <w:r>
        <w:rPr>
          <w:b/>
        </w:rPr>
        <w:t>E. 5.2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dem Beschwerdeführer hätte Einsicht gewähren können. Allgemeine Länderinformationen, welche der internen Erkenntnisbildung dienen, sind gemäss ständiger Rechtspraxis nicht Bestandteil des Akteneinsichtsrechts und folglich auch nicht offenzulegen. Aus den Akten geht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dem Beschwerdeführer hierzu Akteneinsicht zu gewähren. An dieser Einschätzung ändert auch der Umstand nichts, dass das Bundesverwaltungsgericht dem Beschwerdeführer mit Verfügung vom 11. Mai 2012 den BFM-Bericht vom 22. Dezember 2011 betreffend eine Dienstreise nach Sri Lanka zur Stellungnahme zustellte. Schliesslich ist davon auszugehen, dass das BFM dem Beschwerdeführer mit Schreiben vom 19. August 2011 alle entscheidwesentlichen Verfahrensakten im gesetzlich zulässigen Umfang ediert hat, nachdem im Beschwerdeverfahren keine anders lautende Rüge erhoben wurde. Insbesondere wurde keine Verletzung des Akteneinsichtsrechts bezüglich einzelner von der durch das BFM gewährten Einsicht ausgenommener Dokumente geltend gemacht. Insgesamt liegt somit keine Verletzung des Akteneinsichtsrechts beziehungsweise der Begründungspflicht vor, da das BFM nicht gehalten war, die verwendeten allgemein zugänglichen Länderinformationen im beantragten Ausmass detailliert offenzulegen. Der gestellte Antrag, das BFM sei anzuweisen, sämtliche Herkunftsländerinformationen, auf welche es seinen Entscheid stützte, mittels Quellenangaben offenzulegen, ist daher abzuweisen.</w:t>
      </w:r>
    </w:p>
    <w:p>
      <w:r>
        <w:rPr>
          <w:b/>
        </w:rPr>
        <w:t>E. 5.5</w:t>
      </w:r>
    </w:p>
    <w:p>
      <w:r>
        <w:t>Bezüglich der Rüge des Beschwerdeführers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w:t>
      </w:r>
    </w:p>
    <w:p>
      <w:r>
        <w:rPr>
          <w:b/>
        </w:rPr>
        <w:t>E. 5.6</w:t>
      </w:r>
    </w:p>
    <w:p>
      <w:r>
        <w:t>Bei dieser Sachlage besteht somit keine Veranlassung, die angefochtene Verfügung aus formellen Gründen aufzuheben, weshalb das Begehren des Beschwerdeführers, der Entscheid vom 11. August 2011 sei in den Dispositivpunkten 4 und 5 aufzuheben und zur Neubeurteilung der Sache an das BFM zurückzuweisen, abzuweisen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An dieser Einschätzung ändern auch die diesbezüglichen Vorbringen des Beschwerdeführers in der Stellungnahme vom 18. Mai 2012 sowie die dort zitierten Berichte nichts,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 wurde der Wegweisungsvollzug hingegen als unzumutbar qualifiziert (vgl. BVGE 2008/2 E. 7.6.2 S. 21). Das Bundesverwaltungsgericht hat in BVGE 2011/24 angesichts der veränderten Lage nach dem Ende des sri-lankischen Bürgerkriegs im Mai 2009 und der militärisch vernichtenden Niederlage der LTTE eine aktualisierte, auch heute noch zutreffende Neubeurteilung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 insbesondere auch die Ostprovinz und die nicht zum Vanni-Gebiet gehörenden Gebiete der Nordprovinz - ist der Wegweisungsvollzug grundsätzlich zumutbar, zumal dort insbesondere keine Situation allgemeiner Gewalt festzustellen ist. Bei aus der Nordprovinz stammenden Personen ist dabei zu differenzieren. Für Personen, die dieses Gebiet erst nach Beendigung des Bürgerkrieges im Mai 2009 verlassen haben, ist die Rückkehr als grundsätzlich zumutbar zu bewerten, wenn davon ausgegangen werden kann, dass diese Personen auf die gleiche oder gleichwertige Lebens- und Wohnsituation zurückgreifen können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wohin der Vollzug als grundsätzlich zumutbar erachtet wird (vgl. BVGE 2011/24 13.2.1.1 - 13.3).</w:t>
      </w:r>
    </w:p>
    <w:p>
      <w:r>
        <w:rPr>
          <w:b/>
        </w:rPr>
        <w:t>E. 6.3.3</w:t>
      </w:r>
    </w:p>
    <w:p>
      <w:r>
        <w:t>Der Beschwerdeführer stammt aus dem Norden Sri Lankas, aus C._______ im Distrikt Jaffna. Der Ort befindet sich ausserhalb des Vanni-Gebietes in der Nordprovinz, weshalb der Wegweisungsvollzug des Beschwerdeführers dorthin grundsätzlich zumutbar ist. Da sein dortiger Aufenthalt jedoch schon lange Zeit zurückliegt, müssen besondere begünstigende Faktoren vorliegen, um die Zumutbarkeit seines Wegweisungsvollzuges zu bejahen. Vorliegend erübrigt sich diese Prüfung indessen, da - wie nachfolgend dargelegt wird - die Zumutbarkeit einer innerstaatlichen Aufenthaltsalternative in F._______ (Grossraum Colombo) bejaht werden kann.</w:t>
      </w:r>
    </w:p>
    <w:p>
      <w:r>
        <w:rPr>
          <w:b/>
        </w:rPr>
        <w:t>E. 6.3.4</w:t>
      </w:r>
    </w:p>
    <w:p>
      <w:r>
        <w:t>Für die Beurteilung einer Aufenthaltsalternative im Grossraum Colombo gelten weiterhin die in BVGE 2008/2 festgelegten Kriterien (vgl. BVGE 2008/2 E. 7.6.1 f.). Der Beschwerdeführer hat von März 2009 bis zu seiner Ausreise aus Sri Lanka am 19. Juni 2010 bei einem Freund in F._______ gewohnt (BFM-Akten A 8/12 S. 5). Die Behauptung des Beschwerdeführers, er habe sich in F._______ versteckt gehalten und er sei dort nicht registriert gewesen, ist als unglaubhaft zu erachten, zumal er während des ganzen Aufenthalts als (...) gearbeitet und mit seinem Handwagen Gemüse in der Stadt verteilt haben will (A 8/12 S. 7). Nach Kenntnis des Bundesverwaltungsgerichts gab es nämlich insbesondere in den Jahren 2009 und 2010 in F._______ in der ganzen Stadt verteilt Kontrollpunkte, an denen sich Passanten Personenkontrollen unterziehen mussten, wobei Personen tamilischer Ethnie besonders streng kontrolliert wurden. Nach dem Gesagten ist daher davon auszugehen, dass der Beschwerdeführer vor seiner Ausreise aus Sri Lanka in F._______ offiziell registriert war und sich demnach dort legal aufhielt, weshalb er auch dorthin zurückkehren kann. Soweit er in der Stellungnahme vom 18. Mai 2012 geltend macht, sein Freund aus F._______ habe in der Zwischenzeit Sri Lanka in Richtung Kanada verlassen, ist festzuhalten, dass diese Aussage lediglich als Schutzbehauptung zu werten ist, da sie durch keine weiteren Angaben oder Beweismittel gestützt wird. Für die Unglaubhaftigkeit dieses Vorbringens spricht zudem der Umstand, dass der Beschwerdeführer im vorliegenden Asylverfahren teilweise nicht glaubhafte Aussagen machte (vgl. vorinstanzliche Verfügung Ziffer I.1). Folglich ist entgegen der Behauptung des Beschwerdeführers davon auszugehen, dass sein Freund nach wie vor in F._______ lebt, und er dort über ein tragfähiges soziales Netz verfügt. Der Freund wird den - gemäss den Akten - gesunden Beschwerdeführer zumindest vorübergehend aufnehmen und allenfalls bei der Arbeitssuche unterstützen können. Der Beschwerdeführer verfügt zudem über jahrelange Berufserfahrung als (...) sowie Erfahrung als (...), weshalb er in der Lage sein wird, sich in der Heimat wirtschaftlich zu reintegrieren.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Entgegen den Vorbringen des Beschwerdeführers in der Rechtsmittelschrift sowie der Stellungnahme vom 18. Mai 2012 ist somit nicht anzunehmen, dass er bei einer Rückkehr in seinen Heimatstaat in eine existenzielle Notlage geraten wird. Der Vollzug der Wegweisung erweist sich damit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30. August 2011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