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D-480/2016 vom 3. Mai 2016</w:t>
      </w:r>
    </w:p>
    <w:p>
      <w:r>
        <w:t>Bundesverwaltungsgericht, 2016-05-03, FR</w:t>
      </w:r>
    </w:p>
    <w:p>
      <w:r>
        <w:rPr>
          <w:b/>
        </w:rPr>
        <w:t xml:space="preserve">Quelle: </w:t>
      </w:r>
      <w:r>
        <w:t>https://mcp.opencaselaw.ch/entscheid/bvger_D-480_2016</w:t>
      </w:r>
    </w:p>
    <w:p>
      <w:r>
        <w:t>FR: TAF D-480/2016 du 3 mai 2016</w:t>
      </w:r>
    </w:p>
    <w:p>
      <w:r>
        <w:t>IT: TAF D-480/2016 del 3 maggio 2016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admis.</w:t>
      </w:r>
    </w:p>
    <w:p>
      <w:r>
        <w:rPr>
          <w:b/>
        </w:rPr>
        <w:t>E. 2</w:t>
      </w:r>
    </w:p>
    <w:p>
      <w:r>
        <w:t>La cause est renvoyée au SEM pour instruction complémentaire et nouvelle décision dans le sens des considérants.</w:t>
      </w:r>
    </w:p>
    <w:p>
      <w:r>
        <w:rPr>
          <w:b/>
        </w:rPr>
        <w:t>E. 3</w:t>
      </w:r>
    </w:p>
    <w:p>
      <w:r>
        <w:t>Il est statué sans frais ni dépens.</w:t>
      </w:r>
    </w:p>
    <w:p>
      <w:r>
        <w:rPr>
          <w:b/>
        </w:rPr>
        <w:t>E. 4</w:t>
      </w:r>
    </w:p>
    <w:p>
      <w:r>
        <w:t>Le présent arrêt est adressé au recourant, au SEM et à l'autorité cantonale. La juge unique : Le greffier : Claudia Cotting-Schalch Thomas Thentz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