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D-4809/2014 vom 5. März 2015</w:t>
      </w:r>
    </w:p>
    <w:p>
      <w:r>
        <w:t>Bundesverwaltungsgericht, 2015-03-05, DE</w:t>
      </w:r>
    </w:p>
    <w:p>
      <w:r>
        <w:rPr>
          <w:b/>
        </w:rPr>
        <w:t xml:space="preserve">Quelle: </w:t>
      </w:r>
      <w:r>
        <w:t>https://mcp.opencaselaw.ch/entscheid/bvger_D-4809_2014</w:t>
      </w:r>
    </w:p>
    <w:p>
      <w:r>
        <w:t>FR: TAF D-4809/2014 du 5 mars 2015</w:t>
      </w:r>
    </w:p>
    <w:p>
      <w:r>
        <w:t>IT: TAF D-4809/2014 del 5 marzo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5</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dies ist vorliegend der Fall.</w:t>
      </w:r>
    </w:p>
    <w:p>
      <w:r>
        <w:rPr>
          <w:b/>
        </w:rPr>
        <w:t>E. 6.1</w:t>
      </w:r>
    </w:p>
    <w:p>
      <w:r>
        <w:t>Die Vorinstanz kann ein im Ausland gestelltes Asylgesuch ablehnen, wenn die asylsuchende Person keine Verfolgung glaubhaft machen kann oder ihr die Aufnahme in einem Drittstaat zugemutet werden kann (vgl. Art. 3, Art. 7 und aArt. 52 Abs. 2 AsylG).</w:t>
      </w:r>
    </w:p>
    <w:p>
      <w:r>
        <w:rPr>
          <w:b/>
        </w:rPr>
        <w:t>E. 6.2</w:t>
      </w:r>
    </w:p>
    <w:p>
      <w:r>
        <w:t>Gemäss aArt.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6.3</w:t>
      </w:r>
    </w:p>
    <w:p>
      <w:r>
        <w:t>Mit der Vorinstanz ist festzuhalten, dass den von den Beschwerdeführenden geltend gemachten Vorkommnissen keine einreiserelevante Bedeutung zukommt. Die Vorinstanz hält in der angefochtenen Verfügung richtigerweise fest, dass die Beschwerdeführenden durch den aktenkundigen gewaltsamen Tod ihres Vaters beziehungsweise Ehemannes im Jahr 2007 keine einreiserelevanten Nachteile erlitten hätten oder ihnen solche drohen würden. Die Tat liege mittlerweile mehrere Jahre zurück. Ausserdem seien die Beschwerdeführenden im Jahr 2008 freiwillig nach Sri Lanka zurückgekehrt, dies sei ein Indiz dafür, dass diese bereits damals nicht (mehr) mit einem erheblichen Verfolgungsrisiko gerechnet hätten. Es sei verständlich, dass die Beschwerdeführenden sich angesichts der in den vergangenen Jahren vereinzelt erlebten Drohungen, Befragungen oder Sachbeschädigungen um ihre Sicherheit besorgt und Angst vor Verfolgungsmassnahmen gehabt hätten. Auch wenn der verstorbene Ehemann und Vater der Beschwerdeführenden in den Jahren 2000 bis 2005 für die Liberation Tigers of Tamil Eelam (LTTE) Gelder eingezogen haben solle, könne im vorliegenden Fall ausgeschlossen werden, dass seitens der Behörden eine ernsthafte Verfolgungsabsicht gegen die Beschwerdeführenden vorhanden sei. Diese hätten auch nie geltend gemacht, jemals festgenommen oder verhaftet, (zu konkreten) Sachverhalten befragt, oder bei der Aus- und Rückreise irgendwelche Schwierigkeiten gehabt zu haben. Wären die sri-lankischen Behörden der Überzeugung, dass die Beschwerdeführenden sowie die weiteren noch in Sri Lanka lebenden Familienangehörigen in irgendeiner Weise eine Gefahr für die Sicherheit des sri-lankischen Staates darstellen würden, wären sie zweifelsohne inhaftiert worden, was jedoch nicht der Fall gewesen sei. Auch habe sich die Einschätzung der Vorinstanz bezüglich der Gefährdungssituation in Sri Lanka gegenüber dem Jahr 2008 geändert. Abgesehen von Drohungen und Belästigungen, die im Einzelnen wenig konkret und widersprüchlich ausgefallen seien, sei es offensichtlich zu keinen konkreten Übergriffen auf die Beschwerdeführenden gekommen. Zudem komme derartigen Vorfällen, die die Beschwerdeführenden zum Teil auch der Polizei zur Anzeige gebracht hätten, aufgrund mangelnder Intensität kein Verfolgungscharakter zu. Ausserdem würden die von den Beschwerdeführenden geschilderten Sachbeschädigungen und Drohungen auch in Sri Lanka grundsätzlich strafbare Handlungen darstellen, welche nach Erkenntnissen der Vorinstanz von den zuständigen Strafverfolgungsbehörden im Rahmen ihrer Möglichkeiten verfolgt und geahndet würden. Die Beschwerdeführenden hätten denn auch dargelegt, dass sie teilweise Anzeige bei der Polizei hätten erstatten können. Für eine Stützung oder Billigung der geltend gemachten Übergriffe seitens der Behörden bestünden somit keine Anhaltspunkte. Es liege ausserdem ausserhalb der Möglichkeiten eines Staates, jeden denkbaren Übergriff Dritter präventiv zu verhindern. Es solle nicht in Abrede gestellt werden, dass sich die Beschwerdeführerin als verwitwete und allein erziehende Mutter von drei Kindern in einer schwierigen Situation befinde. Doch würden eine schwierige Lebenssituation und insoweit humanitäre Überlegungen keinen Grund für die Einreise in die Schweiz darstellen. Ausserdem könne sie mit der Hilfe und Unterstützung von Familienangehörigen, mit denen sie zusammen wohne, rechnen. An dieser Einschätzung können auch die weiteren Ausführungen der Beschwerdeführenden in ihrer Rechtsmitteleingabe nichts ändern, zumal sie lediglich daran festhielten, nach ihrer Rückkehr aus der Schweiz in Sri Lanka gefährdet zu sein und ihre freiwillige Rückkehr als Fehler bezeichneten. Diesen Ausführungen schliesst sich das Bundesverwaltungsgericht vollumfänglich an, zumal sich aus der Beschwerde nichts ergibt, was die Erwägungen der Vorinstanz entkräften könnte.</w:t>
      </w:r>
    </w:p>
    <w:p>
      <w:r>
        <w:rPr>
          <w:b/>
        </w:rPr>
        <w:t>E. 6.4</w:t>
      </w:r>
    </w:p>
    <w:p>
      <w:r>
        <w:t>Somit ist es der Beschwerdeführerin nicht gelungen, eine aktuelle Gefähr­dung im Sinne von Art. 3 AsylG aufzuzeigen, welche die Bewilligung der Einreise in die Schweiz rechtfertigen würde. Die Schutzbedürftigkeit der Beschwerdeführerin im Sinne von aArt. 20 i.V.m. Art. 3 AsylG ist nicht gegeben. Im Übrigen ist auch eine Beziehungsnähe der Beschwerdefüh­rerin zur Schweiz zu verneinen (aArt. 52 Abs. 2 AsylG). Das BFM hat der Beschwerdeführerin zu Recht die Einreise in die Schweiz verweigert und das Asylgesuch abgelehnt. 7.Aus diesen Erwägungen ergibt sich, dass die angefochtene Verfügung Bundesrecht nicht verletzt und den rechtserheblichen Sachverhalt richtig und vollständig feststellt (Art. 106 Abs. 1 AsylG). Die Beschwerde ist da­her abzuweisen. 8.Bei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