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D-4802/2019 vom 9. Oktober 2019</w:t>
      </w:r>
    </w:p>
    <w:p>
      <w:r>
        <w:t>Bundesverwaltungsgericht, 2019-10-09, DE</w:t>
      </w:r>
    </w:p>
    <w:p>
      <w:r>
        <w:rPr>
          <w:b/>
        </w:rPr>
        <w:t xml:space="preserve">Quelle: </w:t>
      </w:r>
      <w:r>
        <w:t>https://mcp.opencaselaw.ch/entscheid/bvger_D-4802_2019</w:t>
      </w:r>
    </w:p>
    <w:p>
      <w:r>
        <w:t>FR: TAF D-4802/2019 du 9 octobre 2019</w:t>
      </w:r>
    </w:p>
    <w:p>
      <w:r>
        <w:t>IT: TAF D-4802/2019 del 9 ottobre 2019</w:t>
      </w:r>
    </w:p>
    <w:p>
      <w:pPr>
        <w:pStyle w:val="Heading2"/>
      </w:pPr>
      <w:r>
        <w:t>Regeste</w:t>
      </w:r>
    </w:p>
    <w:p>
      <w:r>
        <w:t>Vollzug der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hier, endgültig (Art. 105 AsylG; Art. 83 Bst. d Ziff. 1 BGG).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37 VGG i.V.m. Art. 112 AIG [SR 142.20],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Beschwerde beschränkt sich auf den Wegweisungsvollzug, während die Verneinung der Flüchtlingseigenschaft, die Ablehnung des Asylgesuchs und die Anordnung der Wegweisung unangefochten in Rechtskraft erwachsen sind.</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5.4.1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5.4.2</w:t>
      </w:r>
    </w:p>
    <w:p>
      <w:r>
        <w:t>Sodann ergeben sich weder aus den Aussagen des Beschwerde-führers - in der Rechtsmitteleingabe äussert er sich namentlich nicht zur Zulässigkeit des Wegweisungsvollzugs - noch aus den Akten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w:t>
      </w:r>
    </w:p>
    <w:p>
      <w:r>
        <w:rPr>
          <w:b/>
        </w:rPr>
        <w:t>E. 5.4.3</w:t>
      </w:r>
    </w:p>
    <w:p>
      <w:r>
        <w:t>Der Beschwerdeführer macht gesundheitliche Probleme geltend. Gemäss Arztbericht der (...) vom (...), wo er sich seit dem (...) in ambulanter Behandlung befindet, leidet er an einer (...) Störung und ist gegenwärtig (...). Der Beschwerdeführer ist gemäss Arztbericht nicht in der Lage, mit seiner schwierigen psychosozialen Lage umzugehen und auf externe Hilfe angewiesen. Ein Unterbruch der Behandlung und insbesondere das Absetzen der Medikation würde mit hoher Wahrscheinlichkeit eine (...) sowie starke (...) mit der Gefahr von Konsum von (...) auslösen, dabei sei die Gefahr einer erneuten schweren (...) Krise mit (...) sehr hoch. Auch im Fall einer Ausweisung sei die Gefahr einer schweren (...) Krise erhöht. Mit dem aktuellen Behandlungssetting (regelmässige Gespräche, wöchentliche Besuche von (...), regelmässige Einnahme der Medikation) bestehe kein Anhalt für (...). Eine zwangsweise Rückweisung von Personen mit gesundheitlichen Problemen stellt nur ganz ausnahmsweise einen Verstoss gegen Art. 3 EMRK dar. Dies ist insbesondere der Fall, wenn die betroffene Person sich in einem fortgeschrittenen oder terminalen Krankheitsstadium und bereits in Todesnähe befindet, nach der Überstellung mit dem sicheren Tod rechnen müsste und dabei keinerlei soziale Unterstützung erwarten könnte (vgl. BVGE 2011/9 E. 9 mit Hinweisen auf die damalige Praxis des EGMR). Aufgrund der gesamten Aktenlage kann vorliegend nicht von einer derart gravierenden psychischen Krankheit ausgegangen werden, dass sie einem Wegweisungsvollzug nach Algerien entgegenstehen würde. Hinsichtlich der Gefahr einer Selbstgefährdung bei einer zwangsweisen Überstellung ist der wegweisende Staat gemäss Praxis des EGMR nicht verpflichtet, vom Vollzug der Wegweisung Abstand zu nehmen, falls Ausländer oder Ausländerinnen mit (...) drohen. Die Überstellung vermag nicht gegen Art. 3 EMRK zu verstossen, wenn der wegweisende Staat Massnahmen ergreift, um die Umsetzung einer entsprechenden (...) zu verhindern (vgl. den Unzulässigkeitsentscheid des EGMR vom 7. Oktober 2004 i.S. D. und andere gegen Deutschland 33743/03, angeführt in Entscheide der [ehemaligen] Asylrekurskommission [EMARK] 2005 Nr. 23 E. 5.1 [S. 212]). Einer allfälligen (...) ist jedoch Rechnung zu tragen, zumal die Überstellung nur bei Reisefähigkeit erfolgen kann und unter Einbezug der gegenwärtigen ärztlichen Betreuung sorgfältig vorzubereiten ist. Der Beschwerdeführer ist bei der Rückführung wenn nötig ärztlich zu begleiten und es sollten ihm allenfalls benötigte Medikamente im Sinne einer Erstversorgung mitgegeben werden. Bei Einhaltung dieser Vorsichtsmassnahmen ist die Überstellung des Beschwerdeführers zulässig, da insbesondere aus dem eingereichten ärztlichen Bericht keine Hinweise auf eine langwierige Beeinträchtigung der Reisefähigkeit hervorgehen (vgl. act. 2, S. 2).</w:t>
      </w:r>
    </w:p>
    <w:p>
      <w:r>
        <w:rPr>
          <w:b/>
        </w:rPr>
        <w:t>E. 5.5.1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5.5.2</w:t>
      </w:r>
    </w:p>
    <w:p>
      <w:r>
        <w:t>Die allgemeine Lage in Algerien ist weder von Bürgerkrieg noch von allgemeiner Gewalt gekennzeichnet, so dass der Vollzug der Wegweisung dorthin grundsätzlich zumutbar ist. Es bestehen auch sonst keine Anhaltspunkte, die darauf schliessen liessen, der Beschwerdeführer sei bei einer Rückkehr nach Algerien einer konkreten Gefährdung im Sinne von Art. 83 Abs. 4 AIG ausgesetzt. Insbesondere ist nicht davon auszugehen, dass er in Algerien in wirtschaftlicher Hinsicht in eine existenzbedrohende Situation gelangen wird. Gemäss eigenen Angaben verfügt er über einen Schulabschluss und ein Diplom in (...). Er ist zudem bis im (...) 2016 selbständig erwerbstätig gewesen (vgl. SEM act. A44 F. 42 f. und F. 59). Er verfügt somit grundsätzlich über die Voraussetzungen, um auch künftig ein Einkommen erwirtschaften zu können. Zudem leben in Algerien seine Eltern in einem grossen Haus, auf deren Unterstützung er zurückgreifen kann, zumal ihm sein Vater die Reise nach Europa finanziert hat (vgl. SEM act. A44 F. 27 und F. 38).</w:t>
      </w:r>
    </w:p>
    <w:p>
      <w:r>
        <w:rPr>
          <w:b/>
        </w:rPr>
        <w:t>E. 5.5.3</w:t>
      </w:r>
    </w:p>
    <w:p>
      <w:r>
        <w:t>Betreffend die psychischen Leiden des Beschwerdeführers ist zu bemerken, dass bei einer Erkrankung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Entgegen den Beschwerdevorbringen lassen sich aus den gemäss ärztlichem Bericht vom 10. September 2019 (vgl. E. 5.4.3) ausgewiesenen gesundheitlichen Problemen ([...] Störung, Depressionen mit [...]) keine Vollzugshindernisse ableiten, zumal die im ärztlichen Bericht empfohlene integrierte psychiatrische Behandlung im ambulanten psychiatrischen Bereich auch in Algerien möglich ist und der Beschwerdeführer dementsprechend dort auch bereits ärztlich behandelt worden ist. Insbesondere bestehen in Algerien psychiatrische Abteilungen in Krankenhäusern, sind Medikamente erhältlich und ist ambulante Behandlung kostenlos (vgl. Urteil des BVGer E-1287/2014 vom 21. Januar 2015 E. 5.4). Es ist deshalb davon auszugehen, dass der Beschwerdeführer das gemäss ärztlichem Bericht notwendige Behandlungssetting (regelmässige Gespräche, wöchentliche Besuche von [...], regelmässige Einnahme der Medikation) auch im Heimatland erhalten wird und er dabei, namentlich für alltägliche Bedürfnisse, auch auf seine zahlreichen Verwandten zurückgreifen kann.</w:t>
      </w:r>
    </w:p>
    <w:p>
      <w:r>
        <w:rPr>
          <w:b/>
        </w:rPr>
        <w:t>E. 5.5.4</w:t>
      </w:r>
    </w:p>
    <w:p>
      <w:r>
        <w:t>Nach dem Gesagten erweist sich der Vollzug der Wegweisung auch als zumutbar.</w:t>
      </w:r>
    </w:p>
    <w:p>
      <w:r>
        <w:rPr>
          <w:b/>
        </w:rPr>
        <w:t>E. 5.6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5.7</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Das Beschwerdeverfahren ist mit vorliegendem Urteil abgeschlossen, weshalb sich der Antrag auf Verzicht auf die Erhebung eines Kostenvorschusses als gegenstandslos erweist.</w:t>
      </w:r>
    </w:p>
    <w:p>
      <w:r>
        <w:rPr>
          <w:b/>
        </w:rPr>
        <w:t>E. 8.1</w:t>
      </w:r>
    </w:p>
    <w:p>
      <w:r>
        <w:t>Die Gesuche um Gewährung der unentgeltlichen Prozessführung und amtlichen Rechtsverbeiständung (vgl. Art. 65 Abs. 1 VwVG und aArt. 110a AsylG) sind trotz belegter Mittellosigkeit abzuweisen, da die Beschwerde gemäss den vorstehenden Erwägungen als aussichtslos zu bezeichnen war und die gesetzlichen Voraussetzungen daher nicht gegeben sind.</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