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D-47/2018 vom 26. Februar 2018</w:t>
      </w:r>
    </w:p>
    <w:p>
      <w:r>
        <w:t>Bundesverwaltungsgericht, 2018-02-26, DE</w:t>
      </w:r>
    </w:p>
    <w:p>
      <w:r>
        <w:rPr>
          <w:b/>
        </w:rPr>
        <w:t xml:space="preserve">Quelle: </w:t>
      </w:r>
      <w:r>
        <w:t>https://mcp.opencaselaw.ch/entscheid/bvger_D-47_2018</w:t>
      </w:r>
    </w:p>
    <w:p>
      <w:r>
        <w:t>FR: TAF D-47/2018 du 26 février 2018</w:t>
      </w:r>
    </w:p>
    <w:p>
      <w:r>
        <w:t>IT: TAF D-47/2018 del 26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Das Bundesverwaltungsgericht hat das ebenfalls hängige Beschwerdeverfahren des Beschwerdeführers betreffend Datenänderung im ZEMIS(D-5369/2016) mit Zwischenverfügung vom 3. Oktober 2016 bis zum Abschluss des vorliegenden Asylverfahrens sistiert. Da diesbezüglich seit dem 3. Januar 2018 ein Beschwerdeverfahren anhängig gemacht wurde, wird die Sistierung des Beschwerdeverfahrens D-5369/2016 aufgehoben und über beide Beschwerden in einem koordinierten Verfahren, also zeitgleich, befunden werden.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einen Schriftenwechsel verzichtet.</w:t>
      </w:r>
    </w:p>
    <w:p>
      <w:r>
        <w:rPr>
          <w:b/>
        </w:rPr>
        <w:t>E. 5.1</w:t>
      </w:r>
    </w:p>
    <w:p>
      <w:r>
        <w:t>Der Beschwerdeführer vertritt vorab die Ansicht, die Vorinstanz betrachte ihn zu Unrecht als volljährig. So habe er eine pakistanische Geburtsurkunde im Original eingereicht, der zufolge er am (...) geboren, also minderjährig sei. Diese sei echt, weise sie doch gemäss der Dokumentenanalyse des SEM keine Fälschungsmerkmale auf.</w:t>
      </w:r>
    </w:p>
    <w:p>
      <w:r>
        <w:rPr>
          <w:b/>
        </w:rPr>
        <w:t>E. 5.2</w:t>
      </w:r>
    </w:p>
    <w:p>
      <w:r>
        <w:t>Vorweg ist demnach zu untersuchen, ob im vorliegenden Asylverfahren von der Volljährigkeit oder der Minderjährigkeit des Beschwerdeführers auszugehen ist.</w:t>
      </w:r>
    </w:p>
    <w:p>
      <w:r>
        <w:rPr>
          <w:b/>
        </w:rPr>
        <w:t>E. 5.3</w:t>
      </w:r>
    </w:p>
    <w:p>
      <w:r>
        <w:t>Nach Lehre und Praxis trägt die asylsuchende Person die Beweislast für die von ihr behauptete Minderjährigkeit. Mithin ist diese zu beweisen oder zumindest glaubhaft zu machen (vgl. dazu Entscheidungen und Mitteilungen der Schweizerischen Asylrekurskommission [EMARK] 2004 Nr. 30 E. 5 ff.). Die Vorinstanz hat also nicht zusätzlich die Richtigkeit der Volljährigkeit zu beweisen (vgl. Urteil des BVGer E-6883/2016 vom 28. November 2016 E. 2.3; EMARK 2000 Nr. 19 E. 8b, 2001 Nr. 22 E. 3b und 2004 Nr. 30 E. 5.3.3). Bestehen Hinweise, dass eine angeblich minderjährige asylsuchende Person das Mündigkeitsalter bereits erreicht hat, so kann das SEM ein Altersgutachten veranlassen (Art. 17 Abs. 3bis AsylG). Im Rahmen der Feststellung des Sachverhalts kann mit Unterstützung wissenschaftlicher Methoden abgeklärt werden, ob die Altersangabe der asylsuchenden Person dem tatsächlichen Alter entspricht (Art. 7 Abs. 1 AsylV 1).</w:t>
      </w:r>
    </w:p>
    <w:p>
      <w:r>
        <w:rPr>
          <w:b/>
        </w:rPr>
        <w:t>E. 5.4</w:t>
      </w:r>
    </w:p>
    <w:p>
      <w:r>
        <w:t>Im zur selben Zeit und im selben Spruchkörper ergangenen Urteil im Verfahren D-5369/2016 wird in Erwägung 5 einlässlich dargelegt, dass von der Volljährigkeit des Beschwerdeführers auszugehen ist respektive dass diesem der Nachweis seiner geltend gemachten Minderjährigkeit weder nach den datenschutz- noch nach den asylrechtlichen Beweisregeln gelungen ist. Darauf kann hier vollständig verwiesen werden. Nach dem Gesagten kann auch die Frage offengelassen werden, ob im Asylverfahren betreffend das Alter der asylsuchenden Person die Beweisregeln des Datenschutzrechts zu gelten hätten. Im übrigen ist auch der Antrag in der Beschwerde, das SEM sei anzuweisen, sämtliche Herkunftsländerinformationen, auf die sich die Verfügung des SEM stütze, mittels Quellenangaben offenzulegen, abzuweisen (a.a.O. S. 2, Rechtsbegehren 1).</w:t>
      </w:r>
    </w:p>
    <w:p>
      <w:r>
        <w:rPr>
          <w:b/>
        </w:rPr>
        <w:t>E. 5.5</w:t>
      </w:r>
    </w:p>
    <w:p>
      <w:r>
        <w:t>Zusammenfassend hat die Vorinstanz zu Recht auf die Volljährigkeit des Beschwerdeführers geschlossen. Bei dieser Sachlage ist auch die Durchführung der Anhörung zu den Asylgründen ohne Beizug einer Vertrauensperson in formeller Hinsicht als regelkonform zu bezeichnen.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2009, Rz. 11.17 und 11.18).</w:t>
      </w:r>
    </w:p>
    <w:p>
      <w:r>
        <w:rPr>
          <w:b/>
        </w:rPr>
        <w:t>E. 7.1</w:t>
      </w:r>
    </w:p>
    <w:p>
      <w:r>
        <w:t>Der Beschwerdeführer begründete sein Asylgesuch im Wesentlichen damit, er sei von seinem früheren Arbeitgeber und zwei von dessen Freunden in Karachi wiederholte Male sexuell missbraucht worden.</w:t>
      </w:r>
    </w:p>
    <w:p>
      <w:r>
        <w:rPr>
          <w:b/>
        </w:rPr>
        <w:t>E. 7.2</w:t>
      </w:r>
    </w:p>
    <w:p>
      <w:r>
        <w:t>Grundsätzlich ist festzuhalten, dass sexuelle Übergriffe auf eine Person erst dann die Flüchtlingseigenschaft zu begründen vermögen, wenn sie aus einem der in Art. 3 Abs. 1 AsylG genannten Gründe (Rasse, Religion, Nationalität, Zugehörigkeit zu einer bestimmten sozialen Gruppe, politische Anschauung) erfolgen. Ein derartiges Verfolgungsmotiv (vgl. hierzu beispielsweise Walter Kälin, Grundriss des Asylverfahrens, 1990, S. 86 ff.; Alberto Achermann/Christina Hausammann, Handbuch des Asylrechts, 2. Aufl., 1991, S. 95 ff.; Stöckli, a.a.O., Rz. 11.10 - 11.12) ist aus den vorliegenden Akten indessen nicht ersichtlich, erklärte der Beschwerdeführer anlässlich seiner Anhörung durch das SEM vom 18. Oktober 2017 doch, sein früherer Arbeitgeber habe sich aus "Freude" an ihm vergangen (vgl. act. A51/16 S. 9 F95). So besehen, handelt es sich bei den vom Beschwerdeführer geschilderten sexuellen Übergriffen schlicht um gemeinrechtliche Straftaten, welche keine Verfolgung im asylrechtlichen Sinne darzustellen vermögen. Die Frage der Glaubhaftigkeit der entsprechenden Vorbringen kann somit ebenso offenbleiben wie diejenige der Schutzfähigkeit und des Schutzwillens des pakistanischen Staates.</w:t>
      </w:r>
    </w:p>
    <w:p>
      <w:r>
        <w:rPr>
          <w:b/>
        </w:rPr>
        <w:t>E. 7.3</w:t>
      </w:r>
    </w:p>
    <w:p>
      <w:r>
        <w:t>Soweit der Beschwerdeführer zusätzlich behauptet, er sei als Kind sowohl von seinem Vater als auch in der Schule geschlagen worden, lagen diese Vorkommnisse ungeachtet ihrer Glaubhaftigkeit im Zeitraum der Ausreise des Beschwerdeführers schon zeitlich zu weit zurück, um noch als ausreisebestimmend und damit asylrelevant gelten zu können.</w:t>
      </w:r>
    </w:p>
    <w:p>
      <w:r>
        <w:rPr>
          <w:b/>
        </w:rPr>
        <w:t>E. 7.4</w:t>
      </w:r>
    </w:p>
    <w:p>
      <w:r>
        <w:t>Zusammenfassend ist daher festzuhalten, dass es dem Beschwerdeführer nicht gelungen ist, eine asylrechtlich erhebliche Verfolgungsgefahr nachzuweisen oder zumindest glaubhaft zu machen. Es erübrigt sich, auf weitere Vorbringen in der Beschwerde einzugehen, da diese am Ergebnis nichts zu ändern vermögen. Das SEM hat das Asylgesuch des Beschwerdeführers demnach im Ergebnis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w:t>
      </w:r>
    </w:p>
    <w:p>
      <w:r>
        <w:rPr>
          <w:b/>
        </w:rPr>
        <w:t>E. 9.1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Beschwerdeführenden ergeben sich konkrete Anhaltspunkte dafür, dass er für den Fall einer Ausschaffung nach Pakistan dort mit beachtlicher Wahrscheinlichkeit einer nach Art. 3 EMRK oder Art. 1 FoK verbotenen Strafe oder Behandlung ausgesetzt wäre. Er behauptet zwar, er sei in Karachi von seinem Arbeitgeber jahrelang sexuell missbraucht worden. Niemand verhält ihn indessen dazu, wieder dorthin zurückzukehren. Ausserdem ist wohl schwerlich anzunehmen, dass er im Falle einer Rückkehr nach Pakistan dort generell mit beachtlicher Wahrscheinlichkeit zu gewärtigen hätte, Opfer eines sexuellen Missbrauchs zu werden. Der Vollzug ist demnach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Die Rechtsvertretung weist in der Beschwerde darauf hin, dass der Beschwerdeführer gemäss dem Austrittsbericht der Klinik für Psychiatrie und Psychotherapie in O._______ (M._______) vom 28. Dezember 2017 dort zwischen dem 14. und dem 20. Dezember 2017 aufgrund akuter Suizidalität stationär behandelt wurde. Laut dem besagten ärztlichen Bericht von Dr. med. P._______ litt der Beschwerdeführer damals an einer Anpassungsstörung mit kurzer depressiver Reaktion (ICD-10 F43.20).</w:t>
      </w:r>
    </w:p>
    <w:p>
      <w:r>
        <w:rPr>
          <w:b/>
        </w:rPr>
        <w:t>E. 9.4.2</w:t>
      </w:r>
    </w:p>
    <w:p>
      <w:r>
        <w:t>Nach konstanter Praxis des Bundesverwaltungsgerichts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2009/2 E. 9.3.2 S. 21). Demgegenüber liegt noch keine Unzumutbarkeit vor, wenn im Heimatstaat eine dem schweizerischen Standard nicht entsprechende medizinische Behandlung zur Verfügung steht.</w:t>
      </w:r>
    </w:p>
    <w:p>
      <w:r>
        <w:rPr>
          <w:b/>
        </w:rPr>
        <w:t>E. 9.4.3</w:t>
      </w:r>
    </w:p>
    <w:p>
      <w:r>
        <w:t>Das Bundesverwaltungsgericht gelangt aufgrund der Aktenlage und der medizinischen Infrastruktur im Herkunftsland des Beschwerdeführers zum Schluss, dass eine allfällige psychiatrische Weiterbehandlung seiner Person auch in Pakistan erfolgen kann. So existieren psychiatrische Abteilungen in Pakistan sowohl in öffentlichen Spitälern als auch in privaten Kliniken, wobei die psychiatrische Versorgung in den ländlichen Gegenden schlechter als in den Städten ist. Darüber hinaus bleibt anzumerken, dass die geschilderten Krankheitssymptome nicht nur auf verstörenden Erlebnissen des Beschwerdeführers in der Heimat, sondern auch auf einer generellen Angst vor einer Ausschaffung und der vorerwähnten Perspektivlosigkeit ob seines unsicheren Aufenthaltsstatus beruhen dürften. Dabei handelt es sich indessen um Phänomene, welche eine Vielzahl von Asylsuchenden betreffen, welche ebenfalls mit der Situation einer möglichen Rückführung in ihr Heimatland konfrontiert sind, weshalb ihnen unter dem Gesichtspunkt eines Wegweisungsvollzugshindernisses grundsätzlich keine eigenständige Bedeutung zukommt. Angesichts der im ärztlichen Bericht thematisierten Gefahr einer allfälligen Suizidalität im Falle einer Rückführung des Beschwerdeführers in seine Heimat kann zwar nicht gänzlich ausgeschlossen werden, dass sich nach Erhalt des Urteils des Bundesverwaltungsgerichts suizidale Tendenzen erneut akzentuieren. Diesen wäre mit geeigneten medikamentösen oder allenfalls auch psychotherapeutischen Massnahmen und/oder einer ärztlichen Rückbegleitung entgegenzuwirken. Der Beschwerdeführer ist nicht zuletzt in diesem Zusammenhang auf die Möglichkeit hinzuweisen, beim SEM einen Antrag auf medizinische Rückkehrhilfe zu stellen (Art. 93 Abs. 1 Bst. d AsylG).</w:t>
      </w:r>
    </w:p>
    <w:p>
      <w:r>
        <w:rPr>
          <w:b/>
        </w:rPr>
        <w:t>E. 9.4.4</w:t>
      </w:r>
    </w:p>
    <w:p>
      <w:r>
        <w:t>In Pakistan herrscht keine landesweite Situation allgemeiner Gewalt. Sodann bleibt anzumerken, dass im vorliegenden Fall auch davon auszugehen ist, dass der Beschwerdeführer im Fall seiner Rückkehr in die Heimat über ein intaktes Beziehungsnetz verfügen dürfte. Seine extrem pauschalen Aussagen, seine Eltern hätten ihn immer schlecht behandelt, weshalb er immer schlecht über sie denke, und seine Geschwister hätten ihn nie gegenüber seinen Eltern verteidigt (vgl. act. A51/16 S. 12 F138 ff.), weisen in dieser Form darauf hin, dass er seine wirklichen familiären Verhältnisse in seiner Heimat zu verschleiern versucht. Hierfür spricht im Ergebnis, dass er an anderer Stelle auch behauptete, seine beiden älteren Schwestern hätten ihn bei den Schulaufgaben unterstützt (vgl. act. A51/16 S. 12 F142). Weiter deutet auch der Umstand, dass der Beschwerdeführer bei der BzP auf die Frage hin, ob er eigene Identitätspapiere beschaffen könne, spontan die Telefonnummer seines Vaters nannte (vgl. act. A8/5 S. 2 F4 f.), eher darauf hin, dass die familiären Verhältnisse nicht derart schlecht sind, wie der Beschwerdeführer dem Gericht weismachen will. Wie die Vorinstanz in ihrer Verfügung vom 30. November 2017 in diesem Zusammenhang zutreffend erwogen hat, findet die Untersuchungspflicht der Behörden nach Treu und Glauben ihre vernünftigen Grenzen an der Mitwirkungspflicht des Beschwerdeführers, der auch die Substantiierungspflicht trägt. Damit ist es nach ständiger Rechtsprechung des Bundesverwaltungsgerichts nicht die Aufgabe der Asylbehörden, bei unplausiblen Angaben des Beschwerdeführers hinsichtlich seines sozialen Beziehungsnetzes in der Heimat nach etwaigen hypothetischen Wegweisungsvollzugshindernissen zu forschen. Angesichts des Gesagten ist der Vollzug der Wegweisung auch als zumutbar zu erachten.</w:t>
      </w:r>
    </w:p>
    <w:p>
      <w:r>
        <w:rPr>
          <w:b/>
        </w:rPr>
        <w:t>E. 9.5</w:t>
      </w:r>
    </w:p>
    <w:p>
      <w:r>
        <w:t>Der Vollzug der Wegweisung ist schliesslich nach Art. 83 Abs. 2 AuG als möglich zu bezeichnen, zumal es dem Beschwerdeführer obliegt, sich bei der zuständigen Vertretung seines Heimatlandes die für eine Rückkehr notwendigen Reisedokumente zu beschaffen (Art. 8 Abs. 4 AsylG; BVGE 2008/34 E. 12).</w:t>
      </w:r>
    </w:p>
    <w:p>
      <w:r>
        <w:rPr>
          <w:b/>
        </w:rPr>
        <w:t>E. 9.6</w:t>
      </w:r>
    </w:p>
    <w:p>
      <w:r>
        <w:t>Die Vorinstanz hat demnach Wegweisungsvollzugshindernisse zu Recht verneint. Die Anordnung einer vorläufigen Aufnahme fällt ausser Betracht (Art. 83 Abs. 1-4 AuG).</w:t>
      </w:r>
    </w:p>
    <w:p>
      <w:r>
        <w:rPr>
          <w:b/>
        </w:rPr>
        <w:t>E. 10</w:t>
      </w:r>
    </w:p>
    <w:p>
      <w:r>
        <w:t>Aus diesen Erwägungen ergibt sich, dass die angefochtene Verfügung Bundesrecht nicht verletzt und den rechtserheblichen Sachverhalt richtig und vollständig feststellt (Art. 106 Abs. 1 AsylG) und, soweit überprüfbar, angemessen ist (Art. 112 AuG i.V.m. Art. 49 Bst. c VwVG). Für eine Rückweisung der Sache an die Vorinstanz besteht nach dem Gesagten kein Anlass. Die Beschwerde ist somit abzuweisen.</w:t>
      </w:r>
    </w:p>
    <w:p>
      <w:r>
        <w:rPr>
          <w:b/>
        </w:rPr>
        <w:t>E. 11</w:t>
      </w:r>
    </w:p>
    <w:p>
      <w:r>
        <w:t>Bei diesem Ausgang des Verfahrens wären dessen Kosten grundsätzlich dem Beschwerdeführer aufzuerlegen (Art. 37 VGG i.V.m. Art. 63 Abs. 1 VwVG; Art. 1-3 des Reglements vom 21. Februar 2008 über die Kosten und Entschädigungen vor dem Bundesverwaltungsgericht [VGKE, SR 173.320.2]). Da sich die Beschwerdebegehren insgesamt nicht als aussichtslos erweisen, sind die in der Beschwerdeeingabe vom 2. Januar 2018 gestellten Gesuche um Gewährung der unentgeltlichen Prozessführung gemäss Art. 65 Abs. 1 VwVG sowie um Gewährung der unentgeltlichen Rechtsverbeiständung im Sinne von Art. 110a Abs. 1 AsylG gutzuheissen und lic. iur. Verena Gessler als amtliche Rechtsbeiständin einzusetzen. Bei dieser Sachlage sind ihm keine Verfahrenskosten aufzuerlegen.</w:t>
      </w:r>
    </w:p>
    <w:p>
      <w:r>
        <w:rPr>
          <w:b/>
        </w:rPr>
        <w:t>E. 12</w:t>
      </w:r>
    </w:p>
    <w:p>
      <w:r>
        <w:t>Der amtlichen Rechtsbeiständin ist ein Honorar auszurichten (vgl. für die Grundsätze der Bemessung der Parteientschädigung Art. 7 ff. VGKE). Das Gericht legt der amtlichen Verbeiständung bei anwaltlichen Vertretern einen Tarif von Fr. 200.- bis 220.- zugrunde. Die Rechtsvertreterin hat keine Kostennote zu den Akten gereicht, weshalb das Gericht die auszurichtende Entschädigung von Amtes wegen festsetzt (Art. 14 Abs. 2 VGKE). Gestützt auf die in Betracht zu ziehenden Bemessungsfaktoren (Art. 9 ff. VGKE) ist der Rechtsbeiständin ein Betrag von Fr. 1´000.- (inklusive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