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D-47/2009 vom 15. Dezember 2011</w:t>
      </w:r>
    </w:p>
    <w:p>
      <w:r>
        <w:t>Bundesverwaltungsgericht, 2011-12-15, DE</w:t>
      </w:r>
    </w:p>
    <w:p>
      <w:r>
        <w:rPr>
          <w:b/>
        </w:rPr>
        <w:t xml:space="preserve">Quelle: </w:t>
      </w:r>
      <w:r>
        <w:t>https://mcp.opencaselaw.ch/entscheid/bvger_D-47_2009</w:t>
      </w:r>
    </w:p>
    <w:p>
      <w:r>
        <w:t>FR: TAF D-47/2009 du 15 décembre 2011</w:t>
      </w:r>
    </w:p>
    <w:p>
      <w:r>
        <w:t>IT: TAF D-47/2009 del 15 dicembre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Bundesverwaltungsgericht erachtet die vom BFM aufgrund diverser Unglaubhaftigkeitselemente in den Vorbringen des Beschwerdeführers gezogenen Schlussfolgerungen im Ergebnis als zutreffend. Diese erlangen insbesondere noch dadurch an Gewicht, weil sich im Gesamtkontext aus den Akten weitere massgebende respektive entscheidende der Glaubhaftigkeit abträgliche Ungereimtheiten und Unstimmigkeiten ergeben (vgl. E. 4.2. nachstehend). Ebenfalls ist der Vorinstanz darin zuzustimmen, dass die Vorbringen des Beschwerdeführers (allgemeine Benachteiligung der kurdischen Minderheit) in Bezug auf die asylrechtliche Beachtlichkeit in Abrede zu stellen sind. In Beachtung des vom Beschwerdeführer selbst eher beiläufig erwähnten familiären (politischen) Hintergrunds zeigte sie sodann in einer nicht zu beanstandenden Art und Weise auf, dass ihm eine innerstaatliche Fluchtalternative offensteht, was die Zuerkennung der Flüchtlingseigenschaft respektive die Schutzgewährung durch einen Drittstaat ausschliesst (vgl. Bst. B hiervor).</w:t>
      </w:r>
    </w:p>
    <w:p>
      <w:r>
        <w:rPr>
          <w:b/>
        </w:rPr>
        <w:t>E. 4.2</w:t>
      </w:r>
    </w:p>
    <w:p>
      <w:r>
        <w:t>Der Beschwerdeführer wurde während mehreren Stunden einlässlich befragt (Erstanhörung im EVZ/direkte Bundesanhörung). Dabei berief er sich grundsätzlich auf denselben Sachverhalt. Die Verständigung mit den Dolmetschern bezeichnete er bei den Anhörungen als gut. Den Protokollen sind auch keinerlei Anhaltspunkte zu entnehmen, wonach der Beschwerdeführer nicht in der Lage gewesen wäre, den Befragungen zu folgen. Ebenfalls ergeben sich keine Hinweise für die Annahme, dass ihm nicht genügend Zeit für die Darlegung seiner Fluchtgründe zur Verfügung gestanden hätte. Dem Beschwerdeführer wurden nach seiner freien Erzählung zu den Gesuchsgründen im EVZ zusätzliche konkrete respektive klärende Fragen zu den von ihm erwähnten Vorkommnissen gestellt. Auch erhielt er abschliessend die Gelegenheit, allfällige weitere Gründe, die ihn zum Verlassen des Heimatlandes bewogen haben, darzutun. Mit der Befragung beim Bundesamt verhält es sich gleichermassen. Insbesondere wurden dem Beschwerdeführer bei der direkten Bundesanhörung zahlreiche Fragen respektive Nachfragen zu noch nicht vollständig geklärten Punkten gestellt. Ferner bestätigte der Beschwerdeführer unterschriftlich die Richtigkeit (EVZ) und Vollständigkeit (Bundesamt) der diesbezüglichen Protokolle, weshalb er sich bei seinen Aussagen behaften zu lassen hat. Diese Feststellung erfährt zudem an Gewicht, als dass die bei der direkten Bun­desanhörung anwesende Hilfswerkvertretung nach Einräumung und Wahrnehmung der Gelegenheit, selbst Fragen an den Beschwerdeführer zu richten, keine Einwände anzumelden beziehungsweise weitere Abklärungen anzuregen hatte. Da vorliegend der Sachverhalt somit als erstellt gilt, stösst der Vorwurf der Verletzung des rechtlichen Gehörs in der Beschwerde ins Leere, wonach der Befrager den Beschwerdeführer nie darauf aufmerksam gemacht habe, er halte dessen Angaben für zu wenig detailliert und deshalb für unglaubhaft (vgl. Entscheidungen und Mitteilungen der vormaligen Schweizerischen Asylrekurskommission [EMARK] 1994 Nr. 13 E. S. 111). Ferner ist festzuhalten, dass bei gesamtheitlicher Betrachtungsweise die Ausführungen des Beschwerdeführers in der Rechtsmitteleingabe nicht geeignet sind, die Erwägungen der Vorinstanz zu den diversen Unglaubhaftigkeitselementen in seinen Schilderungen und die von ihr daraus gezogenen Schlussfolgerungen zu entkräften. Ebenso kann der Beschwerdeführer nichts zu seinen Gunsten ableiten, wenn er ausführt, ihm müsse als Hirte, der nomadische Landwirtschaft betreibe und nicht nach einer Agenda lebe, zugestanden werden, dass er keine genaueren Zeitangaben habe machen können. Dieses Vorbringen muss als unbehelflicher Erklärungsversuch gewertet werden. Es ist davon auszugehen, dass einschneidende Ereignisse im Gedächtnis eines Betroffenen prägende Spuren hinterlassen, worüber detailliert, insbesondere auch in zeitlicher Hinsicht, jeweils berichtet werden kann. Ohne abschliessende Beurteilung oder Beanspruchung auf Vollständigkeit von ausweichenden, unsubstanziierten und damit unglaubhaften Antworten ist zur Veranschaulichung in diesem Zusammenhang auf die Aussagen des Beschwerdeführers bei der direkten Bundesanhörung zu verweisen. Zur Frage, wann er das letzte Mal Hilfsdienste zugunsten der HPG ausgeübt habe, gab er zunächst zu Protokoll, sich zurzeit nicht daran zu erinnern. Auf diverse klärende Nachfragen erklärte er sodann, vor der letzten Festnahme (1. Juni 2008) Unterstützung geleistet zu haben, wobei er sich nicht mehr daran erinnern könne, ob Tage, Wochen oder Monate davor, ehe er die Hilfsdiensttätigkeiten auf den Zeitraum zwischen dem Ereignis der Tötung seines Hundes und der erwähnten Festnahme (1 Woche) situierte. Als der Befrager auf die kurze Zeitspanne hinwies, erklärte der Beschwerdeführer, dies nicht mehr so genau zu wissen, um - konfrontiert mit einer kurz zuvor in diesem Zusammenhang gemachten Aussage - schliesslich zu erklären, nie so was gesagt zu haben (Protokoll der direkten Bundesanhörung S. 8 und 9). Unstimmig erweisen sich ausserdem die Schilderungen des Beschwerdeführers rund um das Vorkommnis mit der Tötung seines Hundes. Bei der Erstbefragung fand in seiner Abwesenheit (er sei als Hirte in den Bergen gewesen) eine Razzia im Dorf durch das Militär statt. Man habe ihn rufen lassen und sein Hund sei umgebracht worden. Zudem habe ihm das Militär für den Fall der Weigerung einer Zusammenarbeit angedroht, dass er das gleiche Schicksal wie sein Hund erleiden würde (Protokoll EVZ S. 5). Beim BFM waren es dagegen zahlreiche patrouillierende Soldaten, welche seinen Hund erschossen hätten, als er mit seinen Tieren auf der Weide gewesen sei (Protokoll der direkten Bundesanhörung S. 4 und 8). Als realitätsfremd zu erachten sind seine Schilderung hinsichtlich Umfang, Art und Weise der Unterstützungsleistungen zugunsten der Guerilla. Unter dem Blickwinkel des familiären Hintergrunds des Beschwerdeführers ist insbesondere befremdlich, dass er während rund anderthalb Jahren regelmässig in Abständen von einer Woche oder zehn Tagen, die letzten fünf bis sechs Monate vor der Ausreise gar mit Wissen der Behörden um seine Tätigkeit, diese mehr oder weniger unbeachtet und relativ sorglos weiterführen konnte (Protokoll der direkten Bundesanhörung S. 5 und 6). Unterschiedlich ausgefallen sind ferner die Aussagen des Beschwerdeführers zu den Ausreisevorbereitungen. Anlässlich der Anhörung im EVZ erklärte er, selbst den Schlepper organisiert, ihm Geld, ein Foto sowie die verloren gegangene Identitätskarte zur Beschaffung der erforderlichen Reisepapiere gegeben zu haben. Beim Bundesamt führte er jedoch aus, dass der Vater die Reise organisiert und bezahlt sowie einen Schlepper ausfindig gemacht habe. Auch gab er dort zunächst zu Protokoll, seine Identitätskarte unterwegs in die Schweiz verloren zu haben, ehe er später im Verlaufe der Anhörung vorbrachte, auf der Reise keine Papiere auf sich gehabt zu haben, bloss dem Schlepper gefolgt zu sein und erst bei der Passkontrolle in Moldawien von diesem einen Pass bekommen zu haben, der ihm aber kurz nach der Kontrolle wieder abgenommen worden sei (Protokoll EVZ S. 3; Protokoll der direkten Bundesanhörung S. 3, 10 und 11). Angesichts der dargelegten Kumulation von Unglaubhaftigkeitselementen liegt der Schluss nahe, dass letztlich andere, in asylrechtlicher Hinsicht unbeachtliche Gründe für die Ausreise des Beschwerdeführers massgebend gewesen sein dürften.</w:t>
      </w:r>
    </w:p>
    <w:p>
      <w:r>
        <w:rPr>
          <w:b/>
        </w:rPr>
        <w:t>E. 4.3</w:t>
      </w:r>
    </w:p>
    <w:p>
      <w:r>
        <w:t>Die Ausführungen des Beschwerdeführers zur Asylrelevanz seiner Darlegungen in der Rechtsmitteleingabe sind nicht geeignet, zur Zuerkennung der Flüchtlingseigenschaft zu führen. Im Zusammenhang mit einer (asylbeachtlichen) Gefährdungslage, welche aus der familiären Herkunft des Beschwerdeführers resultieren könnte, kann auf die nachfolgenden Erwägungen verwiesen werden (E. 4.4.2.) Hinsichtlich der übrigen während des vorinstanzlichen Verfahrens geltend gemachten Gründe ist festzuhalten, dass sich diese auf die allgemeine Benachteiligung der kurdischen Minderheit reduzieren lassen, was praxisgemäss - wie das BFM zutreffend aufführt - keinen Anwendungsfall im Sinne von Art. 3 AsylG darstellt. Ergänzend ist noch darauf hinzuweisen, dass dem Beschwerdeführer aufgrund seiner Mitgliedschaft bei der DTP (Demokratik Toplum Partisi), bei der er keine Funktion innehatte und zu der sich die Beziehungen bloss in Besuchen ihres Parteilokals während seiner jeweiligen Aufenthalte in der Stadt manifestierten, keine ernsthaften Nachteile widerfahren sind (Protokoll der direkten Bundesanhörung S. 6 und 7). Schliesslich sind in diesem Zusammenhang noch die Ausreiseumstände des Beschwerdeführers zu erwähnen. Gemäss dessen Schilderungen ist er mit einer auf den Familiennamen (A._______) ausgestellten Identitätskarte, die unterwegs in die Schweiz verloren ging, sowie mit einem mit seinem Foto versehenen Reisepass (vgl. E. 4.2. hiervor) über den Flughafen G._______ problemlos ausgereist. In Anbetracht des erwähnten familiären Hintergrundes sowie der angeblichen behördlichen Suche nach ihm erscheint es indes kaum verständlich, dass sich der Beschwerdeführer ausgerechnet auf diese Art und Weise bei den bekanntermassen rigorosen Kontrollen am Flughafen dem Risiko eines möglichen Entdecktwerdens ausgesetzt haben soll. Ein solches Verhalten spricht jedenfalls gegen die von ihm behauptete (asylrelevante) Gefährdungssi­tuation.</w:t>
      </w:r>
    </w:p>
    <w:p>
      <w:r>
        <w:rPr>
          <w:b/>
        </w:rPr>
        <w:t>E. 4.4.1</w:t>
      </w:r>
    </w:p>
    <w:p>
      <w:r>
        <w:t>Bezüglich der vom Beschwerdeführer geltend gemachten Reflex­verfolgung ist folgendes festzuhalten: Das Bundesverwaltungsgericht geht - in Anlehnung an die bisherige Praxis der ARK (vgl. EMARK 2005 Nr. 21) - davon aus, dass in der Türkei staatliche Repressalien gegen Familienange­hörige von politischen Aktivisten angewandt werden, die als soge­nannte Reflexverfolgung flüchtlingsrechtlich er­heb­lich im Sinne von Art. 3 AsylG sein können. Die Wahrscheinlichkeit, Opfer einer Reflex­verfolgung zu werden, ist gemäss Praxis vor allem dann ge­geben,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hinzu­kommt beziehungs­weise ihr seitens der Be­hörden unterstellt wird (vgl. EMARK 2005 Nr. 21 E. 10.1 S. 195).</w:t>
      </w:r>
    </w:p>
    <w:p>
      <w:r>
        <w:rPr>
          <w:b/>
        </w:rPr>
        <w:t>E. 4.4.2</w:t>
      </w:r>
    </w:p>
    <w:p>
      <w:r>
        <w:t>Vorliegend sind den Akten - entgegen den Ausführungen in der Rechtsmitteleingabe - keine konkreten Anhaltspunkte zu entnehmen, inwiefern der Beschwerdeführer wegen seinen sich in der Schweiz seit Jahren aufhaltenden oder in der Türkei lebenden Verwandten ernsthaften Nachteilen im Sinne von Art. 3 AsylG ausgesetzt gewesen ist. Die in diesem Zusammenhang erhobenen Einwände (nicht ausreichende Berücksichtigung der Gefährdung des Beschwerdeführers durch eine Anschluss- bzw. Reflexverfolgung; asylrelevante Druckversuche und Verfolgungsmassnahmen des türkischen Staates gegenüber dem Beschwerdeführer allein aufgrund von seinem Familiennamen) gehen fehl. Zunächst ist festzuhalten, dass das BFM seiner Begründungspflicht - wenn auch knapp - in rechtsgenüglicher Weise nachgekommen ist und eine sachgerechte Anfechtung der vorinstanzlichen Verfügung ermöglichte (vgl. I/2 S). Die Vorinstanz zeigte unter dem Gesichtspunkt einer dem Beschwerdeführer zur Verfügung stehenden innerstaatlichen Fluchtalternative auf, dass er keiner landesweiten Suche und Verfolgung durch die Sicherheitskräfte ausgesetzt ist. Zudem stellte sie mögliche, dem Beschwerdeführer widerfahrene Schikanen nicht in Abrede, sprach ihnen jedoch das Erfordernis der vom Gesetz verlangten Intensität ab. Was die unter Verweis auf ein Urteil der ARK gemachten Ausführungen hinsichtlich einer Reflexverfolgung allein aufgrund des Familiennamens anbelangt, so erweisen sich diese - da nicht konkret auf die Person des Beschwerdeführers bezogen - entweder als zu pauschal oder aufgrund der Akten als mutmassend, spekulativ und damit unbehelflich. Nebst des Eingangs unter E. 4.2.2. Gesagten, gab der Beschwerdeführer unter anderem auf die Frage der Hilfswerkvertretung, wie er sich erklären könne, dass die HPG ihn nicht schon früher um Unterstützung gebeten habe, zu Protokoll, er könne dies nicht genau sagen. Sie (die HPG) müsse ihn überprüft haben und sein Vertrauen gewonnen haben. Vielleicht habe es auch etwas mit dem Fall seiner ums Leben gekommenen Cousine (Z.D.) väterlicherseits (Anmerkung des Gerichts: Z.D., Angehörige der Guerilla, wurde 1993 von Soldaten getötet und gilt als "Märtyrerin") zu tun. Aufschlussreich erweist sich in diesem Zusammenhang auch die Aussage, wonach niemand der Familie aktiv bei der DTP dabei gewesen sei, obschon alle Mitglieder dieser Partei seien. Eine Mitgliedschaft bei der HPG verneinte der Beschwerdeführer gar ausdrücklich (Protokoll der direkten Bundesanhörung S. 12 und 13). Als erstaunlich muss vor dem geltend gemachten familiären Hintergrund sodann das Vorbringen gewertet werden, wonach Soldaten seit seiner Ausreise bloss zu Hause vorbeigeschaut und nach ihm gefragt haben sollen. Dass die Familie in der Türkei aufgrund seiner Abwesenheit namhaften nachteiligen Konsequenzen durch die heimatlichen Behörden ausgesetzt gewesen sein könnte, ist den Protokollen jedoch nicht zu entnehmen. Die Familie musste aufgrund seiner Abwesenheit "nur Beschimpfungen und Erniedrigungen" erleiden (Protokoll der direkten Bundesanhörung S. 10). Insgesamt erfahren diese Schlussfolgerungen noch dadurch an Gewicht respektive gegen das Risiko einer Reflexverfolgung spricht letztlich der Umstand, dass die zahlreichen, denselben Namen tragenden Mitglieder der Familie des Beschwerdeführers im engeren und weiteren Sinne noch im­mer in der Türkei leben und sich nicht zur Ausreise veranlasst sahen.</w:t>
      </w:r>
    </w:p>
    <w:p>
      <w:r>
        <w:rPr>
          <w:b/>
        </w:rPr>
        <w:t>E. 4.4.3</w:t>
      </w:r>
    </w:p>
    <w:p>
      <w:r>
        <w:t>Das Bundesverwaltungsgericht verkennt nicht, dass der Be­schwerdeführer bei einer Rückkehr in die Türkei mit einer einlässlichen Befragung durch die Sicherheitsbehörden konfrontiert werden könnte. Anhand der Akten besteht jedoch kein Grund für die Annahme, ihm drohten dabei Nachteile im Sinne von Art. 3 AsylG.</w:t>
      </w:r>
    </w:p>
    <w:p>
      <w:r>
        <w:rPr>
          <w:b/>
        </w:rPr>
        <w:t>E. 4.5</w:t>
      </w:r>
    </w:p>
    <w:p>
      <w:r>
        <w:t>Abschliessend und der Vollständigkeit halber sei noch auf F. Gygi, Bundesverwaltungsrechtspflege, 2. Aufl., Bern 1983, S. 321 hingewiesen. Danach braucht sich die urteilende Instanz nicht mit allen Parteistand­punkten einlässlich auseinanderzusetzen und jedes einzelne Vorbringen ausdrücklich zu widerlegen. Das würde häufig einen prozessökonomisch nicht vertretbaren Aufwand er­heischen. Das Urteil braucht höchstens zu den wesentlichen Parteiauffassungen Stellung zu beziehen und selbst das kann auf konkludente Weise dadurch geschehen, dass die Urteilsgründe der entscheidenden Instanz schlüssig in Erscheinung treten. Mit Rücksicht auf die vor­erwähnten Erwägungen besteht keine Veranlassung, auf die weiteren Ausführungen in der Beschwerde einzugehen. Insbesondere kann bei dieser Sachlage den mangels Fall- und teilweise Aktualitäsbezug eingereichten Unterlagen sowie den bestätigenden Charakter aufweisenden Referenzschreiben beweisrechtlich keine Bedeutung beigemessen werden.</w:t>
      </w:r>
    </w:p>
    <w:p>
      <w:r>
        <w:rPr>
          <w:b/>
        </w:rPr>
        <w:t>E. 4.6</w:t>
      </w:r>
    </w:p>
    <w:p>
      <w:r>
        <w:t>Zusammenfassend ist festzustellen, dass der Beschwerdeführer nicht darzutun vermochte, dass er einer Verfolgung im Sinne von Art. 3 AsylG ausgesetzt war oder begründete Furcht hat, einer solchen aus­ge­setzt werden zu können. Er kann daher nicht als Flüchtling aner­kannt werden. Die Vorinstanz hat das Asylgesuch des Beschwerdefüh­rers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BVGE 2009/50 E. 9;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der Türkei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In der Türkei herrscht zurzeit weder Krieg, Bürgerkrieg noch eine Situation allgemeiner Gewalt, weshalb unter diesem Aspekt von der generellen Zumutbarkeit des Wegweisungsvollzugs in dieses Land auszugehen ist. Wie vorstehend ausgeführt, muss sich der Beschwerdeführer bei einer Rückkehr in die Türkei keiner konkreten Gefährdung ausgesetzt sehen. Aufgrund der Aktenlage ist nicht davon auszugehen, dass ihm Behelligun­gen drohen, die zwar nicht die von Art. 3 EMRK geforderte Intensität erreichen, eine Rückkehr aber trotzdem als unzumutbar erscheinen lassen. Er verfügt in seiner Heimat über ein familiäres und darüber hinausgehendes Beziehungsnetz sowie reichlich Erfahrung im Erwerbsleben (vgl. Beschwerde Ziff. 7.1 S.5), so dass ihm eine Reintegration nicht allzu schwer fallen sollte. Nach dem Gesagten erweist sich der Vollzug der Wegweisung auch als zumutbar.</w:t>
      </w:r>
    </w:p>
    <w:p>
      <w:r>
        <w:rPr>
          <w:b/>
        </w:rPr>
        <w:t>E. 6.5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6.6</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Das Gesuch um Gewährung der unentgeltlichen Rechtspflege im Sinne von Art. 65 Abs. 1 VwVG ist abzuweisen. Abklärungen haben ergeben, dass der alleinstehende Beschwerdeführer seit dem 1. Februar 2011 ununterbrochen einer Erwerbstätigkeit nachgeht. Mithin fehlt es an einer der kumulativ zu erfüllenden Voraussetzungen (bedürftig/nicht aussichtslos) der nämlichen gesetzlichen Bestimmung. Die Verfahrenskosten von Fr. 600.- (Art. 1 - 3 des Reglements vom 21. Februar 2008 über die Kosten und Entschädigungen vor dem Bundesverwaltungsgericht [VGKE, SR 173.320.2]) sind demnach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