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D-4797/2015 vom 2. März 2017</w:t>
      </w:r>
    </w:p>
    <w:p>
      <w:r>
        <w:t>Bundesverwaltungsgericht, 2017-03-02, DE</w:t>
      </w:r>
    </w:p>
    <w:p>
      <w:r>
        <w:rPr>
          <w:b/>
        </w:rPr>
        <w:t xml:space="preserve">Quelle: </w:t>
      </w:r>
      <w:r>
        <w:t>https://mcp.opencaselaw.ch/entscheid/bvger_D-4797_2015</w:t>
      </w:r>
    </w:p>
    <w:p>
      <w:r>
        <w:t>FR: TAF D-4797/2015 du 2 mars 2017</w:t>
      </w:r>
    </w:p>
    <w:p>
      <w:r>
        <w:t>IT: TAF D-4797/2015 del 2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w:t>
      </w:r>
    </w:p>
    <w:p>
      <w:r>
        <w:rPr>
          <w:b/>
        </w:rPr>
        <w:t>E. 3.3</w:t>
      </w:r>
    </w:p>
    <w:p>
      <w:r>
        <w:t>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3.4</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w:t>
      </w:r>
    </w:p>
    <w:p>
      <w:r>
        <w:rPr>
          <w:b/>
        </w:rPr>
        <w:t>E. 3.5</w:t>
      </w:r>
    </w:p>
    <w:p>
      <w:r>
        <w:t>Diese Rechtsprechung wurde jüngst aufgegeben. Das Bundesverwaltungsgericht kam in seinem Referenzurteil D-7898/2015 vom 30. Januar 2017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3.6</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Glaubhaftmachung bedeutet - im Gegensatz zum strikten Beweis - ein reduziertes Beweismass und lässt Raum für gewisse Einwände und Zweifel. Entscheidend ist, ob die Gründe, die für die Richtigkeit der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 Sachverhaltsdarstellung sprechen (vgl. BVGE 2013/11 E. 5.1).</w:t>
      </w:r>
    </w:p>
    <w:p>
      <w:r>
        <w:rPr>
          <w:b/>
        </w:rPr>
        <w:t>E. 4.1</w:t>
      </w:r>
    </w:p>
    <w:p>
      <w:r>
        <w:t>Die Vorinstanz begründete die Abweisung des Asylgesuchs im Wesentlichen damit, dass es dem Beschwerdeführer nicht gelungen sei, eine asylbeachtliche Gefährdung im Sinne von Art. 3 AsylG glaubhaft zu machen. Dies zum einen, weil seine Angaben zu wesentlichen Aspekte seiner Asylvorbringen in der Befragung zur Person (BzP) ganz anders ausgefallen seien als in der Anhörung. Es sei nicht nachvollziehbar, warum der Beschwerdeführer zunächst nicht erwähnt habe, eine Vorladung zum Militärdienst erhalten zu haben und dies in der BzP sogar explizit verneinte, während er in der Anhörung vorgebracht habe, eine Vorladung erhalten zu haben und wiederholt von den Behörden gesucht worden zu sein. Ausserdem seien seine Schilderungen zum Teil völlig lebensfremd ausgefallen und sie würden der Logik des Handelns widersprechen - dies betreffe insbesondere seine Schullaufbahn und das Alter, wann er eingeschult worden sein wolle. Auch die Angaben betreffend die Umstände seiner Ausreise aus Eritrea seien sehr widersprüchlich ausgefallen. Diese Widersprüche habe er auch auf Vorhalt nicht zu entkräften vermocht. Zudem habe er auch die Reiseumstände nicht konkret und glaubhaft darlegen können.</w:t>
      </w:r>
    </w:p>
    <w:p>
      <w:r>
        <w:rPr>
          <w:b/>
        </w:rPr>
        <w:t>E. 4.2</w:t>
      </w:r>
    </w:p>
    <w:p>
      <w:r>
        <w:t>In der Beschwerde wird den vorinstanzlichen Erwägungen entgegen gehalten, dass der Beschwerdeführer zwar die zeitlichen Abläufe nicht nachvollziehbar habe schildern können. Dies sei jedoch auf den Umstand zurückzuführen, dass er nur einen sehr niedrigen Bildungsstand habe und zudem wohl einen Mangel an kognitiven Fähigkeiten habe, was bei der Durchsicht der protokollierten Aussagen ins Auge fallen müsse. Dies falle auch in der Unterkunft auf, wo er Mühe habe, sich zu unterhalten. Er schäme sich sehr für seine eingeschränkten Fähigkeiten und habe aus Angst und Scham nicht nachgefragt, sofern er eine Frage nicht verstanden habe. Nur aus diesem Grund sei es zu so grossen Abweichungen gekommen. Klammere man die Angaben zu den Jahreszahlen aus, so seien seine Angaben sehr präzise und erklärten sich aus dem eritreischen Länderkontext. Auch die Schilderung der Ausreise aus Eritrea sei substantiiert genug, um davon auszugehen, dass der Beschwerdeführer sie so erlebt habe. Insgesamt überwiegten die Glaubhaftigkeitsaspekte, weshalb die Anforderungen an Art. 7 AsylG erfüllt seien.</w:t>
      </w:r>
    </w:p>
    <w:p>
      <w:r>
        <w:rPr>
          <w:b/>
        </w:rPr>
        <w:t>E. 4.3</w:t>
      </w:r>
    </w:p>
    <w:p>
      <w:r>
        <w:t>Im Sinne einer Gesamtbetrachtung aller Indizien, welche für oder gegen die Glaubhaftigkeit der Vorbringen sprechen, erscheinen die vom Beschwerdeführer geltend gemachten Nachsuchen durch die eritreischen Behörden sowie die Übermittlung eines ihn betreffenden Aufgebotes für den Militärdienst als überwiegend unglaubhaft. Tatsächlich erschöpfen sich die Angaben des Beschwerdeführers zu den Umständen der Nachsuche der Behörden nach ihm in seinem Elternhaus in sehr allgemeinen und vagen Aussagen (vgl. act. A19/20, F. 136 - 141, 150 - 160, 180, 182 ). Dies gilt auch für die Ausführungen betreffend die Vorladung (vgl. ebenda, F. 161 - 166, 182, 189 - 191). Es ist möglich, dass der Beschwerdeführer trotz Belehrung seine Mitwirkungspflichten gemäss Art. 8 AsylG nicht richtig verstanden hat, er also nur auf Fragen antwortete und nichts von sich aus schilderte (vgl. ebenda, F. 165, 166). Es ist auch nicht auszuschliessen, dass der Beschwerdeführer kognitiv eingeschränkt sein könnte. Dazu wurde jedoch im Beschwerdeverfahren kein Beweis geführt. Das Gericht kann sich hierzu kein abschliessendes Urteil erlauben. Es bleibt demnach dabei, dass die Ausführungen des Beschwerdeführers sehr widersprüchlich und zu wenig substantiiert und - wie bereits von der Vorinstanz dargelegt - in Hinblick auf den Schulbesuch auch kaum nachvollziehbar sind. Das Bundesverwaltungsgericht kommt zum Schluss, dass es dem Beschwerdeführer nicht gelungen ist, die vorgebrachten Geschehnisse in einer Art und Weise darzustellen, welche den Anforderungen der Glaubhaftigkeit im Sinne von Art. 7 AsylG zu genügen vermag. Als Zwischenergebnis resultiert somit, dass der Beschwerdeführer keine ernsthaften Nachteile im Sinne von Art. 3 AsylG zu befürchten hatte.</w:t>
      </w:r>
    </w:p>
    <w:p>
      <w:r>
        <w:rPr>
          <w:b/>
        </w:rPr>
        <w:t>E. 4.4</w:t>
      </w:r>
    </w:p>
    <w:p>
      <w:r>
        <w:t>Die Frage der Zulässigkeit der Praxisänderung des SEM bezüglich der flüchtlingsrechtlichen Beurteilung der illegalen Ausreise aus Eritrea ist vom Bundesverwaltungsgericht in einem Koordinationsverfahren mittlerweile geklärt worden. Das Gericht kommt zum Schluss, dass allein aufgrund einer illegalen Ausreise keine begründete Furcht vor asylrechtlich beachtlicher Verfolgung angenommen werden kann (ausführlich dazu Urteil des BVGer D-7898/2015 vom 30. Januar 2017, E. 4.6-5.1 [vgl. oben, E. 3.4, 3.5]). Nachdem der Beschwerdeführer neben der illegalen Ausreise keine zusätzlichen Anknüpfungspunkte für eine Verschärfung seines Profils aufweist, ist vorliegend nicht von einer asylrechtlich beachtlichen Verfolgung auszugehen. Die Vorinstanz hat daher zu Recht die Flüchtlingseigenschaft des Beschwerdeführers verneint und sein Asylgesuch abgewiesen.</w:t>
      </w:r>
    </w:p>
    <w:p>
      <w:r>
        <w:rPr>
          <w:b/>
        </w:rPr>
        <w:t>E. 5</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6.2</w:t>
      </w:r>
    </w:p>
    <w:p>
      <w:r>
        <w:t>Die von der Vorinstanz wegen Unzumutbarkeit des Vollzugs verfügte vorläufige Aufnahme bleibt dadurch jedoch unberührt.</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Da ihm in den Zwischenverfügungen vom 10. September 2015 die unentgeltliche Prozessführung gewährt wurde, sind keine Verfahrenskosten zu erheben.</w:t>
      </w:r>
    </w:p>
    <w:p>
      <w:r>
        <w:rPr>
          <w:b/>
        </w:rPr>
        <w:t>E. 8</w:t>
      </w:r>
    </w:p>
    <w:p>
      <w:r>
        <w:t>Die Rechtsvertreterin des Beschwerdeführers wurde mit Zwischenverfügung vom 22. September 2015 gestützt auf Art. 110a Abs. 1 AsylG amtlich beigeordnet. Die Festsetzung des amtlichen Honorars erfolgt in Anwendung der Art. 8 - 11 sowie Art. 12 VGKE. Die Rechtsvertreterin hat am 17. März 2016 eine Kostennote zu den Akten gereicht, die angemessen erscheint. Bei einem Stundenansatz von Fr.150.- beläuft sich das amtliche Honorar für die beigeordnete Rechtsvertreterin des unterliegenden Beschwerdeführers auf Fr. 1458.40 (inkl.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