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D-4788/2011 vom 1. Mai 2012</w:t>
      </w:r>
    </w:p>
    <w:p>
      <w:r>
        <w:t>Bundesverwaltungsgericht, 2012-05-01, DE</w:t>
      </w:r>
    </w:p>
    <w:p>
      <w:r>
        <w:rPr>
          <w:b/>
        </w:rPr>
        <w:t xml:space="preserve">Quelle: </w:t>
      </w:r>
      <w:r>
        <w:t>https://mcp.opencaselaw.ch/entscheid/bvger_D-4788_2011</w:t>
      </w:r>
    </w:p>
    <w:p>
      <w:r>
        <w:t>FR: TAF D-4788/2011 du 1 mai 2012</w:t>
      </w:r>
    </w:p>
    <w:p>
      <w:r>
        <w:t>IT: TAF D-4788/2011 del 1 maggio 2012</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liegt in casu nicht vor.</w:t>
      </w:r>
    </w:p>
    <w:p>
      <w:r>
        <w:rPr>
          <w:b/>
        </w:rPr>
        <w:t>E. 1.2</w:t>
      </w:r>
    </w:p>
    <w:p>
      <w:r>
        <w:t>Das Verfahren vor dem Bundesverwaltungsgericht richtet sich nach dem VwVG, soweit das VGG nichts anderes bestimmt (Art. 37 VGG).</w:t>
      </w:r>
    </w:p>
    <w:p>
      <w:r>
        <w:rPr>
          <w:b/>
        </w:rPr>
        <w:t>E. 1.3</w:t>
      </w:r>
    </w:p>
    <w:p>
      <w:r>
        <w:t>Die Beschwerde ist fristgereicht eingereicht und zumindest insoweit auch formgerecht, als sie Begehren, Begründung und Unterschrift des Vertreters enthält. Auf die Beschwerde ist daher insofern einzutreten (Art. 105 und Art. 108 Abs. 1 AsylG, Art. 52 VwVG). Vorliegend stellt sich indessen die Frage hinsichtlich der Vertretungszugänglichkeit eines Asylgesuchs und der Beschwerdelegitimation überhaupt. Mithin ist im Sinne der Legitimationsvoraussetzungen (Art. 48 Abs. 1 VwVG) zu klären, ob die Beschwerdeführerin am Verfahren vor der Vorinstanz überhaupt teilgenommen hat, entsprechend durch die angefochtene Verfügung besonders berührt ist und somit ein schutzwürdiges Interesse an deren Aufhebung beziehungsweise Änderung haben kann. Diese Fragen werden nachstehend in E. 3. zu erörtern sein.</w:t>
      </w:r>
    </w:p>
    <w:p>
      <w:r>
        <w:rPr>
          <w:b/>
        </w:rPr>
        <w:t>E. 1.4</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wird vorliegend auf einen Schriftenwechsel verzichtet.</w:t>
      </w:r>
    </w:p>
    <w:p>
      <w:r>
        <w:rPr>
          <w:b/>
        </w:rPr>
        <w:t>E. 2</w:t>
      </w:r>
    </w:p>
    <w:p>
      <w:r>
        <w:t>Der Umstand, dass das Asylgesuch nicht entsprechend dem Wortlaut in Art. 19 Abs. 1 und Art. 20 AsylG bei einer schweizerischen Vertretung, sondern direkt beim BFM eingereicht wurde, ist nicht massgebend (vgl. in dieser Hinsicht die weiterhin Geltung beanspruchende Praxis der Schweizerischen Asylrekurskommission (ARK) in Entscheidungen und Mitteilungen der Schweizerischen Asylrekurskommission [EMARK] 1997 Nr. 15 E. 2b, die sich zwar auf den damaligen Art. 13a AsylG bezieht, jedoch auch nach geltendem Asylgesetz massgeblich bleibt). Insofern wurde daher das vorliegende Asylgesuch zu Recht als Asylgesuch aus dem Ausland anhand genommen.</w:t>
      </w:r>
    </w:p>
    <w:p>
      <w:r>
        <w:rPr>
          <w:b/>
        </w:rPr>
        <w:t>E. 3.1</w:t>
      </w:r>
    </w:p>
    <w:p>
      <w:r>
        <w:t>Die Bundesverfassung gewährleistet das Recht auf Vertretung als Teilgehalt des Anspruchs auf rechtliches Gehör (Art. 29 Abs. 2 der Bundesverfassung der Schweizerischen Eidgenossenschaft vom 18. April 1999 [BV, SR 101]; Häfelin/Müller/Uhlmann, Allgemeines Verwaltungsrecht, 5. Aufl., Zürich 2006, Rz. 1704 mit Hinweisen). Für das Verwaltungsverfahren und damit auch für das Asylverfahren gilt Art. 11 VwVG, welche Bestimmung mittels Art. 37 VGG und Art. 6 AsylG auch für das Asylbeschwerdeverfahren Anwendung findet. Gemäss Art. 11 Abs. 1 VwVG kann sich eine Partei, wenn sie nicht persönlich zu handeln hat, auf jeder Stufe des Verfahrens vertreten oder, soweit die Dringlichkeit einer amtlichen Untersuchung es nicht ausschliesst, verbeiständen lassen. Die Behörde kann den Vertreter auffordern, sich durch schriftliche Vollmacht auszuweisen (Art. 11 Abs. 2 VwVG). Solange die Partei die Vollmacht nicht widerruft, macht die Behörde ihre Mitteilungen an den Vertreter (Art. 11 Abs. 3 VwVG). Beim Verhältnis zwischen dem Vertreter 2 und der Beschwerdeführerin handelt es sich um eine gewillkürte Vertretung. Die gewillkürte Vertretung einer Partei durch einen frei bestimmten Dritten ist unter Vorbehalt des Erfordernisses des persönlichen Handelns jederzeit möglich. Die Rechtsbeziehungen zwischen dem gewillkürten Vertreter und dem Vertretenen werden grundsätzlich vom Privatrecht bestimmt (vorab durch Art. 32 ff. des Obligationenrechts vom 30. März 1911 [OR, SR 220]). Die Bestellung eines Vertreters erfolgt durch dessen Bevollmächtigung. Dabei handelt es sich um ein einseitiges empfangsbedürftiges Rechtsgeschäft, das dem Vertreter die Befugnis verschafft, den Vertretenen Dritten gegenüber zu vertreten. Die Wirkungen der Vertretung bestehen darin, dass die vom Vertreter im Namen der vertretenen Partei vorgenommenen Handlungen oder Unterlassungen unmittelbar für oder gegen die vertretene Partei gelten, wie wenn sie selbst gehandelt hätte. Der Umfang der Vertretungsbefugnis richtet sich nach der erteilten Vollmacht. Das verfassungsmässige Recht auf Vertretung (Art. 29 Abs. 2 BV) gilt nicht absolut. Eine Einschränkung ist unter Wahrung der Verhältnismässigkeit zulässig, wenn sachliche Gründe es rechtfertigen. So sind Verfahrenshandlungen von der Möglichkeit der Vertretung ausgenommen, die eine persönliche Mitwirkung des oder der Vertretenen erfordern, entweder weil es gesetzlich vorgeschrieben ist oder weil die Verfahrenshandlungen der Natur der Sache nach nur von ihm ausgehen können (vgl. zum Ganzen das in der Materie des Steuerrechts ergangene Urteil des Bundesverwaltungsgerichts A-4355/2007 vom 20. November 2009 E. 3, mit weiterführenden Hinweisen).</w:t>
      </w:r>
    </w:p>
    <w:p>
      <w:r>
        <w:rPr>
          <w:b/>
        </w:rPr>
        <w:t>E. 3.2</w:t>
      </w:r>
    </w:p>
    <w:p>
      <w:r>
        <w:t>Bei der Frage über die Vertretungsbefugnis geht es um die Prüfung der Verfahrensvoraussetzungen. Konkret geht es darum, ob das Stellen eines Asylgesuchs vertretungszugänglich ist.</w:t>
      </w:r>
    </w:p>
    <w:p>
      <w:r>
        <w:rPr>
          <w:b/>
        </w:rPr>
        <w:t>E. 3.3.1</w:t>
      </w:r>
    </w:p>
    <w:p>
      <w:r>
        <w:t>Das Gericht hält vorab fest, dass die Beschwerdeführerin im ganzen bisherigen Verfahren und insbesondere im gesamten erstinstanzlichen Verfahren nie persönlich aufgetreten ist, sei dies beispielsweise als Verfasserin ihres eigenen Asylgesuchs, als Direktbeteiligte an einer Befragung oder Anhörung oder in anderer Weise. Vielmehr haben stets die Vertreterin 1 oder der Vertreter 2 für sie gehandelt. Angesichts dessen und in Berücksichtigung des zuvor unter E. 3.2. Erwogenen sind nicht unerhebliche Zweifel angebracht, ob die Beschwerdeführerin überhaupt jemals als Asylgesuchstellerin an die schweizerischen Behörden herangetreten ist und - bejahendenfalls - ob die schriftlich geltend gemachten Verfolgungsgründe tatsächlich die ihrigen sind. Entsprechende Zweifel sind daher auch unter dem Aspekt eines potenziellen Missbrauchs des Asylrechts angebracht.</w:t>
      </w:r>
    </w:p>
    <w:p>
      <w:r>
        <w:rPr>
          <w:b/>
        </w:rPr>
        <w:t>E. 3.3.2</w:t>
      </w:r>
    </w:p>
    <w:p>
      <w:r>
        <w:t>Gemäss Art. 11 Abs. 1 VwVG kann sich eine Partei, wenn sie nicht persönlich zu handeln hat, auf jeder Stufe des Verfahrens vertreten lassen. Als Einschränkung sind, wie oben (E. 3.1.) gesehen, Verfahrenshandlungen von der Möglichkeit der Vertretung ausgenommen, die eine persönliche Mitwirkung des oder der Vertretenen erfordern, entweder weil es gesetzlich vorgeschrieben ist (z.B. die Anhörung zu den Asylgründen nach Art. 29 AsylG) oder - etwa betreffend die Mitwirkung bei daktyloskopischen Erhebungen - weil die Verfahrenshandlungen der Natur der Sache nach nur von ihr ausgehen können. Gemäss langjähriger asylrechtlicher Praxis gilt die Einreichung eines Asylgesuches als sogenannt "relativ höchstpersönliches Recht" (vgl. EMARK 1996 Nr. 5). Als höchstpersönliches Recht steht es einer Person um ihrer selbst Willen, zum Schutz ihrer Grundrechte zu und kann gemäss Art. 19 Abs. 2 ZGB von einer urteilsfähigen unmündigen Person allein, ohne Zustimmung ihres gesetzlichen Vertreters, ausgeübt werden (vgl. EMARK 1996 Nr. 3 E. 2c; 1996 Nr. 4 E. 2d; 1996 Nr. 5 E. 4b). Die Ausübung eines höchstpersönlichen Rechts setzt somit lediglich die Urteilsfähigkeit, nicht aber die Mündigkeit einer für sich selbst handelnden Person voraus. Als relativ höchstpersönliches Recht lässt das Stellen eines Asylgesuches indessen (im Gegensatz zu den sogenannt "absolut höchstpersönlichen Rechten") eine Vertretung insofern zu, als für eine urteilsunfähige Person ein Asylgesuch auch durch ihren gesetzlichen Vertreter eingereicht werden kann (vgl. EMARK 1996 Nr. 4 E. 2d; 1996 Nr. 5 E. 4c-e). Demgegenüber verpflichtet ein höchstpersönliches Recht - sei dieses nun relativer oder absoluter Natur - dessen urteilsfähigen unmündigen Träger grundsätzlich auch, dieses selbständig, also ohne Hilfe eines allfälligen gesetzlichen Vertreters, geltend zu machen (vgl. beispielsweise Heinz Hausherr/Regina E. Aebi-Müller, Das Personenrecht des Schweizerischen Zivilgesetzbuches, 2. Aufl., Bern 2008, Rz. 07.24, S. 68). Dies muss somit erst recht auf urteilsfähige Mündige zutreffen.Nach dem Gesagten setzt die Initiierung eines Asylverfahrens aus dem Ausland durch die urteilsfähige (mündige oder unmündige) Person prinzipiell einen persönlichen Antrag derselben voraus (vgl. zur Publikation vor­gesehenes Urteil BVGE E-3162/2011 vom 6. Dezember 2011 E. 4.3.2., sowie im Grundsatz auch die Urteile D-239/2010 vom 4. Juni 2010 [E. 3], E-1147/2010 vom 5. März 2010 [S. 6 f.], D-591/2009 vom 24. Februar 2009 [E. 4] oder E 490/2009 vom 23. Februar 2009 [S. 5 f.] des Bundesverwaltungsgerichts). Fehlt ein solcher, ist eine Mangelbehebung indes nicht zwangsläufig ausgeschlossen. Eine Heilung kann beispielsweise dadurch erfolgen, dass der Inhalt eines vertretungsweise eingereichten Asylgesuchs anlässlich einer mündlichen Anhörung oder durch Einreichung einer persönlich verfassten oder zumindest unterzeichneten Stellungnahme zum Fragenkatalog des BFM im Falle des Verzichts auf eine Befragung bestätigt wird. So würde es stossend erscheinen, wenn Personen, die sich im Zustand schwerer Krankheit oder Todesgefahr befinden, das Stellen eines Asylgesuchs durch einen Vertreter aufgrund des abstrakten Kriteriums mangelnder Höchstpersönlichkeit verwehrt wäre. Auch in solchen Konstellationen ist aber zwingend eine spätere Heilung des Mangels vor Ergehen eines erstinstanzlichen Asylentscheides nötig, beispielsweise mittels persönlicher "Absegnung" des seitens Dritter eingereichten Asylgesuchs durch den Gesuchsteller vor der Asylbehörde nach dessen Entkommen aus der Todesgefahr. Im vorliegenden Fall ist die Beschwerdeführerin aber im ganzen bisherigen Verfahren und insbesondere im gesamten erstinstanzlichen Verfahren nie in irgendeiner Weise persönlich vor einer schweizerischen Asylbehörde im In- oder Ausland aufgetreten. Somit steht für das Bundesverwaltungsgericht aufgrund der sich präsentierenden Aktenlage nicht fest, ob sie überhaupt ein ihrer Intention entsprechendes Asylgesuch stellen wollte und will. Damit bleibt zudem unklar, ob sie selber überhaupt als Gesuchstellerin am vorinstanzlichen Verfahren teilgenommen hat und dadurch die Legitimationsvoraussetzungen (Art. 48 Abs. 1 VwVG) zur Beschwerdeführung erfüllt. Die angefochtene Verfügung hätte aufgrund des sich in jenem Zeitpunkt präsentierenden Abklärungsstandes hinsichtlich der Erfüllung der Verfahrensvoraussetzungen nicht ergehen dürfen und ist daher aufzuheben. Es bleibt dem BFM überlassen, über das weitere Vorgehen zu befinden; das heisst, es hat zu entscheiden, ob es das Asylverfahren unter Behebung der festgestellten Mängel wieder aufzunehmen und gegebenenfalls einer neuen Entscheidung zuzuführen gedenkt, oder ob es dem Vertreter eine Mitteilung betreffend die Nichtanhandnahme des Asylgesuchs infolge fehlender höchstpersönlicher Einreichung zu machen hat.</w:t>
      </w:r>
    </w:p>
    <w:p>
      <w:r>
        <w:rPr>
          <w:b/>
        </w:rPr>
        <w:t>E. 3.3.3</w:t>
      </w:r>
    </w:p>
    <w:p>
      <w:r>
        <w:t>Zusammenfassend ist festzustellen, dass das Bundesamt die Höchstpersönlichkeit des Rechts zum Stellen eines Asylgesuchs verkennt und mithin eine Verfügung erlassen hat, die mangels zureichender Prüfung der Verfahrensvoraussetzungen nicht hätte ergehen dürfen.</w:t>
      </w:r>
    </w:p>
    <w:p>
      <w:r>
        <w:rPr>
          <w:b/>
        </w:rPr>
        <w:t>E. 4</w:t>
      </w:r>
    </w:p>
    <w:p>
      <w:r>
        <w:t>Aus diesen Erwägungen ergibt sich, dass die angefochtene Verfügung Bundesrecht verletzt sowie den rechtserheblichen Sachverhalt unrichtig und unvollständig feststellt (Art. 106 AsylG). Die angefochtene Verfügung ist daher von Amtes wegen aufzuheben. Die Sache geht zurück an das BFM zur Wiederaufnahme oder allenfalls Beendigung des erstinstanzlichen Asylverfahrens.</w:t>
      </w:r>
    </w:p>
    <w:p>
      <w:r>
        <w:rPr>
          <w:b/>
        </w:rPr>
        <w:t>E. 5.1</w:t>
      </w:r>
    </w:p>
    <w:p>
      <w:r>
        <w:t>Bei diesem Ausgang des Verfahrens sind weder der Beschwerdeführerin noch dem BFM Kosten aufzuerlegen (Art. 63 Abs. 1 und 2 VwVG). Dementsprechend ist das Gesuch um unentgeltliche Rechtspflege gemäss Art. 65 Abs. 1 VwVG gegenstandslos geworden.</w:t>
      </w:r>
    </w:p>
    <w:p>
      <w:r>
        <w:rPr>
          <w:b/>
        </w:rPr>
        <w:t>E. 5.2</w:t>
      </w:r>
    </w:p>
    <w:p>
      <w:r>
        <w:t>Anlass zur Ausrichtung einer Parteientschädigung nach Art. 64 VwVG besteht ungeachtet der Frage, ob durch die Beschwerdeführung überhaupt notwendige und verhältnismässig hohe Kosten entstanden sind, nicht: Zwar ist die Beschwerde führende Partei mit ihrem Antrag betreffend Aufhebung der angefochtenen Verfügung scheinbar durchgedrungen. Ein Obsiegen liegt damit aber nicht vor, da die Kassation einzig auf einer Rechtsanwendung von Amtes wegen durch das Bundesverwaltungsgericht beruht und in keiner Weise durch den Beschwerdeinhalt motiviert ist. Die in der Beschwerdeschrift gestellten Anträge sind aufgrund der aus formellen Gründen erfolgten Kassation gar nicht erst zur Beurteilung gelangt.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