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D-4784/2024 vom 10. Oktober 2024</w:t>
      </w:r>
    </w:p>
    <w:p>
      <w:r>
        <w:t>Bundesverwaltungsgericht, 2024-10-10, DE</w:t>
      </w:r>
    </w:p>
    <w:p>
      <w:r>
        <w:rPr>
          <w:b/>
        </w:rPr>
        <w:t xml:space="preserve">Quelle: </w:t>
      </w:r>
      <w:r>
        <w:t>https://mcp.opencaselaw.ch/entscheid/bvger_D-4784_2024</w:t>
      </w:r>
    </w:p>
    <w:p>
      <w:r>
        <w:t>FR: TAF D-4784/2024 du 10 octobre 2024</w:t>
      </w:r>
    </w:p>
    <w:p>
      <w:r>
        <w:t>IT: TAF D-4784/2024 del 10 ottobre 2024</w:t>
      </w:r>
    </w:p>
    <w:p>
      <w:pPr>
        <w:pStyle w:val="Heading2"/>
      </w:pPr>
      <w:r>
        <w:t>Regeste</w:t>
      </w:r>
    </w:p>
    <w:p>
      <w:r>
        <w:t>Verweigerung vorübergehender Schutz</w:t>
      </w:r>
    </w:p>
    <w:p>
      <w:pPr>
        <w:pStyle w:val="Heading2"/>
      </w:pPr>
      <w:r>
        <w:t>Erwägungen</w:t>
      </w:r>
    </w:p>
    <w:p>
      <w:r>
        <w:rPr>
          <w:b/>
        </w:rPr>
        <w:t>E. 7</w:t>
      </w:r>
    </w:p>
    <w:p>
      <w:r>
        <w:t>Juni 2024 m.w.H.), dass vorliegend die PESEL-Registrierung, falls sie wegen (vorübergehen- der) Landesabwesenheit deaktiviert wurde, auf Antrag hin wiedererlangt werden kann, wobei das Vorgehen dasselbe wie bei der erstmaligen Re- gistrierung ist (vgl. Urteil des BVGer D-3476/2024 vom 7. Juni 2024), dass mit der Wiedererlangung der PESEL-Registrierung die Berechtigung zu einem Aufenthalt in Polen während achtzehn Monaten verbunden ist (ebd.),</w:t>
      </w:r>
    </w:p>
    <w:p>
      <w:r>
        <w:t>D-4784/2024 Seite 7 dass aufgrund einer zum 1. Juli 2024 in Kraft tretenden Änderung der ein- schlägigen polnischen Gesetzgebung der bislang bis zum 30. Juni 2024 dauernde legale Aufenthaltsstatus von ukrainischen Staatsangehörigen mit PESEL-Registrierung in Polen bis zum 30. September 2025 verlängert wird (vgl. https://visitukraine.today/blog/3767/pesel-ukr-2024-changes-to- be-introduced-by-the-polish-government-to-strengthen-refugee-control, abgerufen am 1. Oktober 2024; vgl. auch Urteil des Bundesverwaltungs- gerichts E-2063/2024, E-2067/2024 vom 13. September 2024 E. 6.2), dass der Darstellung der Beschwerdeführerin, sie verfüge in Polen – trotz der entsprechenden ausdrücklichen Erklärung der zuständigen polnischen Behörde gegenüber dem SEM – im Falle ihrer Rückkehr höchstens über einen theoretischen Anspruch auf Erteilung eines Schutzstatus, was die Berufung auf das Subsidiaritätsprinzip ausschliesse, nicht gefolgt werden kann, dass angesichts der Zustimmung der polnischen Behörden zur Rücküber- nahme der Beschwerdeführerin auch nicht davon auszugehen ist, eine al- lenfalls nötige Wiedererlangung der PESEL-Registrierung wäre nur bei ei- ner Einreise über ukrainisches Territorium möglich, dass der Vollständigkeit halber darauf hinzuweisen ist, dass sich die Be- schwerdeführerin angesichts der aus ihrem Pass ersichtlichen Stempelun- gen nicht seit (…) 2023 dauerhaft in der Ukraine aufhielt, dass das SEM damit zu Recht und mit zutreffender Begründung vom Be- stehen einer Schutzalternative ausging, die die Gewährung des vorüber- gehenden Schutzes in der Schweiz praxisgemäss ausschliesst (vgl. BVGE 2022 VI/1), dass das SEM damit das Gesuch um Gewährung des vorübergehenden Schutzes zu Recht abgelehnt hat, dass die Ablehnung des Gesuchs um Gewährung des vorübergehenden Schutzes in der Regel die Wegweisung aus der Schweiz zur Folge hat (vgl. Art. 69 Abs. 4 AsylG), vorliegend insbesondere kein Kanton eine Aufent- haltsbewilligung erteilt hat und zudem kein Anspruch auf Erteilung einer solchen besteht (vgl. BVGE 2013/37 E. 4.4; 2009/50 E. 9, je m.w.H.), wes- halb die verfügte Wegweisung im Einklang mit den gesetzlichen Bestim- mungen steht und demnach vom SEM ebenfalls zu Recht angeordnet wurde,</w:t>
      </w:r>
    </w:p>
    <w:p>
      <w:r>
        <w:t>D-4784/2024 Seite 8 dass das SEM das Anwesenheitsverhältnis nach den gesetzlichen Bestim- mungen über die vorläufige Aufnahme regelt, wenn der Vollzug der Weg- weisung nicht zulässig, nicht zumutbar oder nicht möglich ist (vgl. Art. 69 Abs. 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die Beschwerdeführerin in der Schweiz kein Asylgesuch gestellt hat und den Akten demnach keine Hinweise auf eine Verletzung des flücht- lingsrechtlichen Refoulement-Verbots (Art. 5 Abs. 1 AsylG; vgl. ebenso Art. 33 Abs. 1 des Abkommens vom 28. Juli 1951 über die Rechtsstellung der Flüchtlinge [FK, SR 0.142.30]) zu entnehmen sind, dass auch keine Anhaltspunkte für eine im Heimat- oder Herkunftsstaat drohende menschenrechtswidrige Behandlung im Sinn von Art. 25 Abs. 3 BV, von Art. 3 des Übereinkommens vom 10. Dezember 1984 gegen Folter und andere grausame, unmenschliche oder erniedrigende Behandlung oder Strafe (FoK, SR 0.105) und der Praxis zu Art. 3 EMRK ersichtlich sind, womit der Vollzug sich als zulässig erweist, dass nach Art. 83 Abs. 5 AIG die Vermutung besteht, dass der Vollzug der Wegweisung in einen EU- oder EFTA-Staat in der Regel als zumutbar er- achtet wird (vgl. Anhang 2 der Verordnung über den Vollzug der Weg- und Ausweisung sowie der Landesverweisung von ausländischen Personen [VVWAL, SR 142.281]), dass es der betroffenen Person obliegt, diese gesetzliche Vermutung zu widerlegen, wobei sie ernsthafte Anhaltpunkte dafür vorzubringen hat, dass sie im betreffenden Staat aufgrund von individuellen Umständen so- zialer, wirtschaftlicher oder gesundheitlicher Art in eine existentielle Not- lage geraten würde (vgl. Referenzurteil des BVGer E-3427/2021 und E-3431/2021 vom 28. März 2022 E. 11.4),</w:t>
      </w:r>
    </w:p>
    <w:p>
      <w:r>
        <w:t>D-4784/2024 Seite 9 dass die Beschwerdeführerin in ihrer Beschwerdeeingabe nicht vorbringt, der Wegweisungsvollzug sei nicht zumutbar, und sich solches auch nicht aus den Akten ergibt, dass schliesslich auch von der Möglichkeit des Wegweisungsvollzugs (Art. 83 Abs. 2 AIG) auszugehen ist, nachdem die polnischen Behörden der Übernahme der Beschwerdeführerin ausdrücklich zugestimmt haben, dass der Vollzug der Wegweisung der Beschwerdeführerin in den Heimat- staat schliesslich möglich ist, da keine Vollzugshindernisse bestehen (Art. 83 Abs. 2 AIG), und es ihnen obliegt, bei der Beschaffung gültiger Rei- sepapiere mitzuwirken (vgl. Art 72 i.V.m. Art. 8 Abs. 4 AsylG und dazu auch BVGE 2008/34 E. 12), dass nach dem Gesagten der vom Staatssekretariat verfügte Vollzug der Wegweisung zu bestätigen ist, dass die angefochtene Verfügung Bundesrecht nicht verletzt, den rechts- erheblichen Sachverhalt richtig sowie vollständig feststellt (Art. 72 i.V.m. Art. 106 Abs. 1 AsylG) und – soweit überprüfbar – angemessen ist, wes- halb die Beschwerde abzuweisen ist, dass die mit der Beschwerdeschrift gestellten Gesuche um Gewährung der unentgeltlichen Prozessführung und der unentgeltlichen Rechtsverbeistän- dung abzuweisen sind, da die hauptsächlichen Begehren – wie sich aus den angestellten Erwägungen ergibt – als aussichtslos im Sinne von Art. 65 Abs. 1 VwVG zu bezeichnen sind, dass bei diesem Ausgang des Verfahrens die Kosten von Fr. 750.– (Art. 1– 3 des Reglements vom 21. Februar 2008 über die Kosten und Entschädi- gungen vor dem Bundesverwaltungsgericht [VGKE, SR 173.320.2]) der Beschwerdeführerin aufzuerlegen sind (Art. 63 Abs. 1 VwVG).</w:t>
      </w:r>
    </w:p>
    <w:p>
      <w:r>
        <w:t>(Dispositiv nächste Seite)</w:t>
      </w:r>
    </w:p>
    <w:p>
      <w:r>
        <w:t>D-4784/2024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