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D-4784/2013 vom 3. Oktober 2013</w:t>
      </w:r>
    </w:p>
    <w:p>
      <w:r>
        <w:t>Bundesverwaltungsgericht, 2013-10-03, DE</w:t>
      </w:r>
    </w:p>
    <w:p>
      <w:r>
        <w:rPr>
          <w:b/>
        </w:rPr>
        <w:t xml:space="preserve">Quelle: </w:t>
      </w:r>
      <w:r>
        <w:t>https://mcp.opencaselaw.ch/entscheid/bvger_D-4784_2013</w:t>
      </w:r>
    </w:p>
    <w:p>
      <w:r>
        <w:t>FR: TAF D-4784/2013 du 3 octobre 2013</w:t>
      </w:r>
    </w:p>
    <w:p>
      <w:r>
        <w:t>IT: TAF D-4784/2013 del 3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 vom 23. August 2013 machen die Beschwerdeführenden im Wesentlichen geltend, es treffe zwar zu, dass die Beschwerdeführerin nicht alle Fragen korrekt habe beantworten können und teilweise unterschiedliche Antworten gegenüber der Befragung abgegeben habe. Dies sei indessen - wie auch anlässlich der Anhörung geäussert - auf starke Konzentrationsschwierigkeiten zurückzuführen. Vermutlich sei sie auch falsch verstanden worden. Zudem leide sie wiederholt an Migräneattacken und müsse starke Medikamente nehmen, welche ihre Konzentrationsfähigkeit beeinträchtigten. Es sei bekanntlich möglich, dass einschneidende - und letztlich auch traumatisierende - Ereignisse zu grossen Blockaden und Verdrängungsmechanismen führten, weshalb letztendlich Daten durcheinander gebracht und Ereignisse verdrängt würden. Dazu gebe es zahlreiche international anerkannte Studien, welche dies belegten. Im Übrigen könne die Glaubhaftigkeit der Aussagen von Asylsuchenden nicht dadurch erschüttert werden, dass eine andere Version denkbar sei. Des Weiteren sei die Vorinstanz zu rügen, weil sie die von der Beschwerdeführerin eingereichten Beweismittel - namentlich die Beweismittel Nr. 10 und 11 - ungenügend geprüft und sie als leicht fälschbar erachtet habe. Es treffe nicht zu, dass sie untauglich seien, den asylrelevanten Sachverhalt glaubhaft zu machen. Unzutreffend gewürdigt habe die Vorinstanz auch die Stellung der Beschwerdeführerin innerhalb der Ahmadi-Gemeinschaft, sei sie doch die Sekretärin der Glaubenspräsidentin und zuständig für die Mädchen gewesen. Es sei ihre Aufgabe gewesen, die Mädchen in Sport, Gesundheit und Haushaltsaufgaben aufzuklären. Gleichzeitig aber habe sie den Glauben der Ahmadi vermittelt. Wie einem Schreiben ihres Vaters zu entnehmen sei, habe ihr Ehemann zwischenzeitlich zum Islam konvertiert und sich von ihr scheiden lassen, weshalb die Beschwerdeführerin mit der Wegnahme der Kinder rechnen müsse, weil die Kinder nach islamischem Recht immer dem Manne zugesprochen würden. Auch lebten ihre Eltern nun in einem kleinen Dorf bei O._______ und könnten die Beschwerdeführerin bei einer Rückkehr nicht unterstützen.</w:t>
      </w:r>
    </w:p>
    <w:p>
      <w:r>
        <w:rPr>
          <w:b/>
        </w:rPr>
        <w:t>E. 5.2</w:t>
      </w:r>
    </w:p>
    <w:p>
      <w:r>
        <w:t>Diese Vorbringen in der Beschwerdeschrift vermögen nicht zu einer veränderten Betrachtungsweise zu führen. Zwar ergibt sich aus dem ärztlichen Austrittsbericht vom 22. März 2013 des Regionalspitals P._______, dass die Beschwerdeführerin am 15. und 16. März 2013 nach einer Migräneattacke, begleitet von getrübtem Bewusstsein und Atemstillstand, ärztliche Hilfe und Spitalpflege in Anspruch nehmen musste. Sie konnte indessen bereits am 16. März 2013 in deutlich gebessertem Zustand ins Transitzentrum Q._______ entlassen werden. Einige Monate später, am 23. Juli 2013, wurde die Beschwerdeführerin im Verlauf der Direktanhörung auf ihr gesundheitliches Befinden angesprochen, woraufhin sie be-stätigte, es gehe ihr gut (A18/20 F22/3 S. 4). Dementsprechend ist nicht davon auszugehen, die Beschwerdeführerin habe während der Anhörung unter einer Migräneattacke gelitten und die von der Vorinstanz festgestellten Unstimmigkeiten stünden in Zusammenhang mit einer akuten gesundheitlichen Störung ihres Wohlbefindens. Auch eigentliche Konzentrationsschwierigkeiten der Beschwerdeführerin sind anhand der Protokolle nicht auszumachen, zumal ihren Antworten zu entnehmen ist, dass sie die gestellten Fragen verstanden hat. Auch die Hilfswerkvertretung hatte in diesem Zusammenhang nichts Auffälliges aus der Anhörung zu berichten. Nach Abschluss der BzP wie auch der Direktanhörung wurden die entsprechenden Protokolle der Beschwerdeführerin im Übrigen rückübersetzt, bei welcher Gelegenheit sie die Möglichkeit hatte, allfällige Unstimmigkeiten auszuräumen. Sie machte von dieser Möglichkeit anlässlich der Direktanhörung durchaus Gebrauch (A18/20 S. 15) und dokumentierte mit diesem Verhalten gleichzeitig ihre Fähigkeit, sich gedanklich auf die Rückübersetzung zu konzentrieren, weshalb auch von Konzentrationsschwierigkeiten keine Rede sein kann. Nach dem Gesagten lassen sich die von der Vorinstanz festgestellten Widersprüche bei wesentlichen Begleitumständen der angeblichen Verfolgungssituation nicht mit einer medizinischen Ausnahmesituation erklären, sondern lediglich damit, dass die Beschwerdeführerin bei ihren Schilderungen nicht auf Erinnerungen an tatsächliche Begebenheiten zurückgreifen konnte. Zur Vermeidung von Wiederholungen wird bezüglich der geltend gemachten, aber unglaubhaften Verfolgungssituation auf die ebenso einlässlichen wie zutreffenden Erwägungen in der angefochtenen Verfügung verwiesen. Ergänzend ist anzumerken, dass entgegen der Darstellung in der Beschwerdeschrift die Beschwerdeführerin nichts verdrängt hat, wenn sie sich zu einem Sachverhalt widersprüchlich äussert; läge in casu eine Verdrängung vor, hätte sie sich zum verdrängten Sachverhalt nicht widersprüchlich, sondern überhaupt nicht geäussert. Vielmehr können die von ihr vorgebrachten Sachverhaltsvarianten nicht geglaubt werden, weil sie beispielsweise zweifelsfrei wissen müsste, ob Ehepartner und Sohn am gleichen Tag entführt worden sind oder nicht. Da sie nicht nur diesbezüglich keine konsistenten Angaben machen konnte und ihre überwiegend widersprüchlichen und teilweise tatsachenwidrigen Vorbringen somit unglaubhaft sind, ist die vorinstanzliche Würdigung der Beweismittel, auch der Beweismittel 10 und 11, nicht zu beanstanden, können doch derartige Dokumente von jeder Person, welche dieser Sprache (Urdu) mächtig ist, mit minimalem Aufwand erstellt werden. Das gilt in minderem Masse auch für die gedruckten Flugblätter. Was schliesslich die Stellung der Beschwerdeführerin innerhalb der Ahmadiyya-Gemeinschaft anbelangt, kann auf ihre Stellungnahme zur Frage, ob sie sich jemals öffentlich als Mitglied dieser Gemeinschaft exponiert habe, verwiesen werden. Diese Frage hat die Beschwerdeführerin wohl zu Recht gleich selbst verneint (A18/20 F107 S. 12), weshalb sich aus der persönlichen Situation der Beschwerdeführerin kein zusätzliches - das heisst über die schwierige Alltagslage der Ahmadis hinausgehendes - individuelles Gefährdungsindiz ergibt (vgl. Entscheidungen und Mitteilungen der Schweizerischen Asylrekurskommission [EMARK] 1996 Nr. 22 E. 6.c S. 229); bei dieser Sachlage kann sich die Beschwerdeführerin nicht auf begründete Furcht vor künftiger Verfolgung berufen.</w:t>
      </w:r>
    </w:p>
    <w:p>
      <w:r>
        <w:rPr>
          <w:b/>
        </w:rPr>
        <w:t>E. 5.3</w:t>
      </w:r>
    </w:p>
    <w:p>
      <w:r>
        <w:t>Zusammenfassend ist somit festzuhalten, dass die Beschwerdeführenden keine Gründe nach Art. 3 AsylG glaubhaft machen oder nachweisen können. Bei dieser Sachlage erübrigt es sich, auf die weiteren Ausführungen in der Beschwerde einzugehen, da sie an der vorstehenden Feststellung nichts zu ändern vermögen. Das Bundesamt hat deshalb die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Pakistan ist demnach unter dem Aspekt von Art. 5 AsylG rechtmässig. Sodann ergeben sich weder aus den Aussagen der Beschwerdeführerin noch aus den Akten Anhaltspunkte dafür, dass die Beschwerdeführenden für den Fall einer Ausschaffung nach Pakistan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geht davon aus, dass die allgemeine Lage in Pakistan nicht durch Krieg, Bürgerkrieg oder durch eine Situation landesweiter allgemeiner Gewalt gekennzeichnet ist, aufgrund derer die Zivilbevölkerung auf dem gesamten Gebiet als konkret gefährdet bezeichnet werden müsste.</w:t>
      </w:r>
    </w:p>
    <w:p>
      <w:r>
        <w:rPr>
          <w:b/>
        </w:rPr>
        <w:t>E. 7.4.2</w:t>
      </w:r>
    </w:p>
    <w:p>
      <w:r>
        <w:t>Die Beschwerdeführerin stammt aus N._______, wo ihre Angehörigen leben. Vorliegend ist nämlich entgegen den Vorbringen in der Beschwerdeschrift anzunehmen, dass die Eltern der Beschwerdeführerin (A5/12 Ziff. 3.01 S. 6, vgl. auch Ziff.1.16.04 S. 4) nach wie vor in N._______ leben, hatten sie doch angesichts der Unglaubhaftigkeit der von der Beschwerdeführerin geltend gemachten Verfolgungssituation keinen Anlass, sich in einem "kleinen Dorf bei O._______" niederzulassen. Die gegenteilige Behauptung in der Beschwerdeschrift und das dazugehörige Beweismittel, das undatierte Schreiben des Vaters der Beschwerdeführerin, zielen lediglich darauf ab, das in Wirklichkeit vorhandene Netz in N._______ zu dissimulieren. Analoges gilt bezüglich der angeblichen Scheidung von ihrem Ehemann, die zwar mit mehreren Fotokopien "dokumentiert" ist, allerdings mit Beweismitteln, die faktisch keinen Beweiswert haben. So ist das Beweismittel 8 nur in Kopie vorhanden. Diesem Dokument zufolge hätte die Beschwerdeführerin selbst im Januar 2013 die Scheidung eingereicht, wovon sie selber anlässlich der Anhörung vom 23. Juli 2013 nichts gesagt hat; im Übrigen stimmt das Datum der Heirat (22. Dezember 2006) nicht mit demjenigen überein, welches sie selbst anlässlich der BzP genannt hat (25. Dezember 2006). Da die Beschwerdeführerin über eine abgeschlossene Hochschulausbildung (Master of Arts) sowie über Berufserfahrung als Lehrerin verfügt, hat sie auch keinen Anlass, nach der Rückkehr mit einer existenzgefährdenden Situation zu rechnen. Darüber hinaus kann sie nötigenfalls auf die Unterstützung des (in Wirklichkeit) vorhandenen sozialen Netzes rechnen, etwa bei der Behandlung der geltend gemachten gesundheitlichen Probleme. Im Übrigen liegen keine über die allgemein schwierigen Lebensbedingungen der Ahmadis hinausgehenden Gefährdungsindizien vor, die als gegen die Zumutbarkeit des Wegweisungsvollzugs sprechende Anhaltspunkte zu qualifizieren wären. Auch sind in diesem Zusammenhang keine Gründe ersichtlich, die dem Kindeswohl widersprechen würden. Dies umso weniger, als beide Kinder noch klein sind und in der Schweiz erst seit knapp 20 Monaten leben.</w:t>
      </w:r>
    </w:p>
    <w:p>
      <w:r>
        <w:rPr>
          <w:b/>
        </w:rPr>
        <w:t>E. 7.4.3</w:t>
      </w:r>
    </w:p>
    <w:p>
      <w:r>
        <w:t>Nach dem Gesagten erweist sich der Vollzug der Wegweisung auch als zumutbar.</w:t>
      </w:r>
    </w:p>
    <w:p>
      <w:r>
        <w:rPr>
          <w:b/>
        </w:rPr>
        <w:t>E. 7.5</w:t>
      </w:r>
    </w:p>
    <w:p>
      <w:r>
        <w:t>Schliesslich verfügen die Beschwerdeführenden über die für eine Rückkehr notwendigen Reisedokumente,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9.1</w:t>
      </w:r>
    </w:p>
    <w:p>
      <w:r>
        <w:t>Mit dem Entscheid in der Hauptsache ist das Gesuch um Verzicht auf die Erhebung eines Kostenvorschusses gegenstandslos geworden.</w:t>
      </w:r>
    </w:p>
    <w:p>
      <w:r>
        <w:rPr>
          <w:b/>
        </w:rPr>
        <w:t>E. 9.2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Verfügung des Bundesgerichts vom 5. August 2013 im Falle 4A_105/2013 [zur Publikation vorgesehen]; BGE 138 III 217 E. 2.2.4 S. 218). Aus der Tatsache, dass sich ex post zeigt, dass die Beschwerdeführerin keine prozessualen Erfolgschancen hatte, ergibt sich zwar noch nicht zwingend, dass die Beschwerde aussichtslos war. Dennoch müssen vor-liegend die Gewinnaussichten der Beschwerdeführerin als von allem Anfang an beträchtlich geringer eingestuft werden als die Verlustgefahren und können gar als kaum ernsthaft bezeichnet werden. Dies bedeutet nach bundesgerichtlicher Rechtsprechung, dass der Streitfall als aussichtslos zu bezeichnen ist. Deshalb sind die gestellten Gesuche um Gewährung der unentgeltlichen Rechtspflege im Sinne von Art. 65 Abs. 1 und 2 VwVG abzuweisen. 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