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D-4776/2016 vom 22. November 2016</w:t>
      </w:r>
    </w:p>
    <w:p>
      <w:r>
        <w:t>Bundesverwaltungsgericht, 2016-11-22, DE</w:t>
      </w:r>
    </w:p>
    <w:p>
      <w:r>
        <w:rPr>
          <w:b/>
        </w:rPr>
        <w:t xml:space="preserve">Quelle: </w:t>
      </w:r>
      <w:r>
        <w:t>https://mcp.opencaselaw.ch/entscheid/bvger_D-4776_2016</w:t>
      </w:r>
    </w:p>
    <w:p>
      <w:r>
        <w:t>FR: TAF D-4776/2016 du 22 novembre 2016</w:t>
      </w:r>
    </w:p>
    <w:p>
      <w:r>
        <w:t>IT: TAF D-4776/2016 del 22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6 AsylG i.V.m. Art. 12 VwVG stellen die Asylbehörden den Sachverhalt von Amtes wegen fest (Untersuchungsgrundsatz). Soweit der Rechtsvertreter geltend macht, das SEM habe es unterlassen, seinen Mandanten genauer nach seiner Rolle im I._______-Gebiet zu befragen, ist festzuhalten, dass ihm ausdrücklich Gelegenheit eingeräumt wurde, sich dazu zu äussern, er aber angab, nichts mehr dazu sagen zu wollen (vgl. B 14/15 Antwort 112). Im Rahmen seiner Mitwirkungspflicht wäre ihm demnach offen gestanden, allfällige Einzelheiten noch zu verdeutlichen. Vor diesem Hintergrund ist von einem rechtsgenüglich erstellten Sachverhalt auszugehen.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Nachweisen). Es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5.2</w:t>
      </w:r>
    </w:p>
    <w:p>
      <w:r>
        <w:t>Der Beschwerdeführer macht auch im Rekurs geltend, in H._______ wiederholt an regimefeindlichen Demonstrationen teilgenommen zu haben. Entgegen der Auffassung des SEM belegten übereinstimmende Quellen, dass solche Manifestationen stattgefunden hätten. Es mag zutreffen, dass gewisse solche Anlässe im genannten Zeitraum noch stattgefunden haben. Die Frage, inwieweit solche Kundgebungen noch durchgeführt wurden, kann aber letztlich offen bleiben. So kann den Akten nicht entnommen werden, dass sich der Beschwerdeführer dabei exponiert hätte und behördlich als Regimegegner identifiziert worden wäre; er gab auch nicht an, in diesem Zusammenhang je festgenommen worden zu sein (vgl. A 11/14 S. 9; B 14/15 Antworten 38 und 49). Zwar reichte er eine Vorladung ein, gemäss welcher er sich bei den Sicherheitskräften hätte melden müssen. Die Vorinstanz verweist aber zu Recht darauf, dass diese angebliche Vorgehensweise der Sicherheitskräfte gegen einen einfachen Demonstranten in H._______ realitätsfremd anmute. Im Übrigen wird auch in der Beschwerde kein substanzielles politisches Engagement behauptet. Hinzu kommen die vom SEM zu Recht als realitätsfremd erwogene angebliche Zustellung an seinen im kurdisch kontrollierten Gebiet wohnhaften Bruder beziehungsweise die Überbringung durch einen Polizeibeamten. Zudem reichte er nur eine Kopie, welche er gemäss seinen Aussagen erst in der Schweiz per Mobiltelefon erhalten und ausgedruckt habe, zu den Akten, was die Beweistauglichkeit zusätzlich beeinträchtigt. Stichhaltige Beschwerdeargumente für eine andere Sichtweise fehlen. Soweit er überdies angibt, es sei eine Denunziation ergangen, muss aufgrund der in keiner Weise substanziierten Schilderungen auf ein blosses Konstrukt geschlossen werden, und zwar umso mehr, als er eine solche Denunziation bei der BzP noch nicht erwähnt hatte und sie mithin auch als nachgeschoben erscheint (vgl. B 14/15 Antworten 48 ff. und 83 ff.).</w:t>
      </w:r>
    </w:p>
    <w:p>
      <w:r>
        <w:rPr>
          <w:b/>
        </w:rPr>
        <w:t>E. 5.3</w:t>
      </w:r>
    </w:p>
    <w:p>
      <w:r>
        <w:t>Entgegen den Beschwerdevorbringen kann der Beschwerdeführer mithin nicht als Person, die durch die staatlichen syrischen Sicherheitskräfte als Gegner des Regimes identifiziert wurde, angesehen werden. Dies trifft offensichtlich auch auf die Beschwerdeführerin zu.</w:t>
      </w:r>
    </w:p>
    <w:p>
      <w:r>
        <w:rPr>
          <w:b/>
        </w:rPr>
        <w:t>E. 5.4</w:t>
      </w:r>
    </w:p>
    <w:p>
      <w:r>
        <w:t>Dass der Sohn E._______ wegen der Weigerung im Dorf, für die PKK zu kämpfen, massiver Gewalt ausgesetzt war, ist unbestritten. Die vom Beschwerdeführer befürchtete Reflexverfolgung asylrelevanten Ausmasses ist indes nicht beachtlich wahrscheinlich. Zwar gab er an, dass gegen ihn Drohungen ergangen seien. Seinen Aussagen ist aber zu entnehmen, dass E._______ am 3. Juni 2013 geschlagen worden sei. Er als sein Vater habe das Dorf jedoch erst im Juli 2013 verlassen (A 11/14 S. 7 und 9). Die Auffassung des SEM, die kurdischen Aktivisten hätten bei entsprechender Verfolgungsmotivation genügend Zeit gehabt, ihn gravierend zu behelligen, ist mithin nachvollziehbar. Entgegen den Beschwerdevorbringen ist auch seine kurdische Verwurzlung im Dorf - trotz des langjährigen Aufenthalts in H._______ - ein weiterer Faktor, welcher gegen eine konkrete Gefahr spricht. Die Möglichkeit im Sinne der Beschwerdevorbringen, wonach er mit der Flucht von E._______ in Verbindung gebracht werde, ist zwar nicht von der Hand zu weisen; eine entscheidende Erhöhung seines Gefährdungspotentials kann darin aber noch nicht erblickt werden. Am Ende der Anhörung äusserte er sich im Übrigen eher vage zu einer Gefährdung im Dorf (A 14/15 Antwort 118).</w:t>
      </w:r>
    </w:p>
    <w:p>
      <w:r>
        <w:rPr>
          <w:b/>
        </w:rPr>
        <w:t>E. 6</w:t>
      </w:r>
    </w:p>
    <w:p>
      <w:r>
        <w:t>Unter Berücksichtigung der gesamten Umstände folgt, dass die Beschwerdeführenden keine Gründe nach Art. 3 AsylG nachweisen oder glaubhaft machen konnten. Die Beschwerdevorbringen und die Beweismittel rechtfertigen keine andere Einschätzung. Die Vorinstanz hat die Flüchtlingseigen­schaft zu Recht verneint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7.2</w:t>
      </w:r>
    </w:p>
    <w:p>
      <w:r>
        <w:t>Ist der Vollzug der Wegweisung nicht zulässig, nicht zumutbar oder nicht möglich, so regelt das Staatssekretariat das Anwesenheitsverhältnis nach den gesetzlichen Bestimmungen über die vorläufige Aufnahme von Ausländern (Art. 44 AsylG; Art. 83 Abs. 1 AuG [SR 142.20]). Die Vorinstanz hat die Beschwerdeführenden in der angefochtenen Verfügung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7.3</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in Anbetracht der aktuellen Situation in Syrien im Sinne von Art. 83 Abs. 4 AuG wurde durch das SEM mit der Anordnung der vorläufigen Aufnahme wegen Unzumutbarkeit des Wegweisungsvollzugs damit genügend Rechnung getragen.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Verfahrenskosten den Beschwerdeführenden aufzuerlegen (Art. 63 Abs. 1 VwVG). Sie stellten in ihrer Rechtsmitteleingabe jedoch ein Gesuch um unentgeltliche Rechtspflege im Sinne von Art. 65 Abs. 1 VwVG, welches das Gericht mit Instruktionsverfügung vom 9. August 2016 guthiess. Am 14. November 2016 reichten sie eine aktualisierte Bestätigung für ihre prozessuale Bedürftigkeit nach. Da sich ihre finanzielle Situation seit der Gutheissung mithin nicht entscheidwesentlich veränderte, ist auf die Erhebung von Kosten zu verzichten. Mit Verfügung vom 9. August 2016 wurde ausserdem das Gesuch um amtliche Verbeiständung gutgeheissen (Art. 110a Abs. 1 VwVG) und den Beschwerdeführenden ihr Rechtsvertreter als Rechtsbeistand zugeordnet. Demnach ist diesem ein amtliches Honorar für seine notwendigen Aufwendungen im Beschwerdeverfahren auszurichten. Er reichte keine Kostennote ein. Auf die Nachforderung einer solchen wird jedoch verzichtet (Art. 14 Abs. 2 des Reglements vom 21. Februar 2008 über die Kosten und Entschädigungen vor dem Bundesverwaltungsgericht [VGKE, SR 173.320.2]), weil im vorliegenden Verfahren der Aufwand zuverlässig abgeschätzt werden kann. Gestützt auf die in Betracht zu ziehenden Bemessungsfaktoren (Art. 9 - 13 VGKE) und in Anbetracht der Parallelen zum Vorverfahren D-6941/2014 ist das amtliche Honorar auf Fr. 1400.- (inkl. Auslagen und allfällige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