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D-4774/2024 vom 30. Mai 2025</w:t>
      </w:r>
    </w:p>
    <w:p>
      <w:r>
        <w:t>Bundesverwaltungsgericht, 2025-05-30, DE</w:t>
      </w:r>
    </w:p>
    <w:p>
      <w:r>
        <w:rPr>
          <w:b/>
        </w:rPr>
        <w:t xml:space="preserve">Quelle: </w:t>
      </w:r>
      <w:r>
        <w:t>https://mcp.opencaselaw.ch/entscheid/bvger_D-4774_2024</w:t>
      </w:r>
    </w:p>
    <w:p>
      <w:r>
        <w:t>FR: TAF D-4774/2024 du 30 mai 2025</w:t>
      </w:r>
    </w:p>
    <w:p>
      <w:r>
        <w:t>IT: TAF D-4774/2024 del 30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w:t>
      </w:r>
    </w:p>
    <w:p>
      <w:r>
        <w:t>D-4774/2024 Seite 5 scheidet auf dem Gebiet des Asyls in der Regel – wie auch vorliegend – endgültig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D-4774/2024 Seite 6 Punkten zu wenig begründet oder in sich widersprüchlich sind, den Tatsa- chen nicht entsprechen oder massgeblich auf gefälschte oder verfälschte Beweismittel abgestützt werden (Art. 7 AsylG).</w:t>
      </w:r>
    </w:p>
    <w:p>
      <w:r>
        <w:rPr>
          <w:b/>
        </w:rPr>
        <w:t>E. 5.1</w:t>
      </w:r>
    </w:p>
    <w:p>
      <w:r>
        <w:t>Das SEM führt zur Begründung seines ablehnenden Asylentscheids im Wesentlichen aus, die Beschwerdeführerin sei zwar als Angehörige der kurdischen Bevölkerung in der Türkei Schikanen und Benachteiligungen verschiedenster Art ausgesetzt gewesen. Dabei handle es sich aber nicht um ernsthafte Nachteile im Sinne des Asylgesetzes und sei damit flücht- lingsrechtlich nicht relevant. Die vom Beschwerdeführer geltend gemachten Hausdurchsuchungen und Mitnahmen im Rahmen von Kundgebungen und Demonstrationen, welche nach den Gezi-Protesten und wieder nach den Wahlen im Jahr 2023 vor- gekommen seien, seien zwar als unbequeme Schikanen zu werten, welche sicherlich auch Angst bei ihm und seiner Familie ausgelöst hätten. Gemäss seinen Schilderungen hätten diese Schikanen jedoch in den Monaten vor seiner Ausreise keine Intensität erreicht, so dass ein menschenwürdiges Leben im Heimatstaat verunmöglicht oder in unzumutbarer Weise er- schwert worden wäre. So habe er angegeben, nach seinem Umzug nach Antalya im Jahr 2017 habe man ihn bei seinen politischen Aktivitäten ge- währen lassen. Erst nach den Wahlen im Sommer 2023 sei er vier Mal in Gewahrsam genommen worden. Von Misshandlungen habe er bei diesen Mitnahmen nicht gesprochen. Bei der Ingewahrsamnahme im Jahr 2015/2016 sei es zu massiver körper- licher und sexueller Gewalt gegen den Beschwerdeführer gekommen. Diese massive Gewalt sei zu verurteilen, der Vorfall liege jedoch rund acht oder neun Jahre zurück und stelle damit ein vergangenes Unrecht dar, wel- ches nicht durch das Asylrecht wiedergutgemacht werden könne. Betreffend die Strafverfahren wegen Beleidigung von Staatsbeamten so- wie Terrorpropaganda sei festzuhalten, dass zwar zwei staatsanwaltschaft- liche Ermittlungsverfahren, indessen (noch) keine Gerichtsverfahren eröff- net worden seien. Diese würden in der Türkei oft in teils hoher Zahl einge- leitet, häufig auch wieder eingestellt. Es sei zum jetzigen Zeitpunkt offen, ob die Ermittlung in absehbarer Zeit überhaupt zur Eröffnung eines Ge- richtsverfahrens oder einer späteren Verurteilung aus einem flüchtlings- rechtlich relevanten Motiv führen werde. Beim von ihm geltend gemachten Haftbefehl handle es sich um einen Vorführbefehl, dessen Zweck es sei,</w:t>
      </w:r>
    </w:p>
    <w:p>
      <w:r>
        <w:t>D-4774/2024 Seite 7 den Beschwerdeführer einzuvernehmen und ihn danach wieder freizulas- sen. Eine Inhaftierung des Beschwerdeführers erscheine wenig wahr- scheinlich, da es sich bei den ihm vorgeworfenen Delikten nicht um Delikte handle, bei denen das Vorliegen eines Haftgrundes gemäss Art. 100 Abs. 3 der türkischen Strafprozessordnung generell bejaht werde. Schliesslich sei im Zusammenhang mit den geltend gemachten Ermitt- lungsverfahren darauf hinzuweisen, dass die Aktenlage dafürspreche, dass er die in der Türkei gegen ihn hängige Strafverfolgung bewusst ein- geleitet habe, um subjektive Nachfluchtgründe zu begründen und somit ei- nen Schutzstatus in der Schweiz zu erlangen. Aus den Akten werde er- sichtlich, dass kurz nach seiner Ausreise aus der Türkei eine Anzeige ge- gen ihn erstattet worden sei. Aufgrund der im polizeilichen Untersuchungs- bericht vom 12. Dezember 2023 aufgeführten Informationen sei ferner er- sichtlich, dass sämtliche Beiträge, welche er auf Instagram getätigt habe, nach seiner Ausreise im August veröffentlicht worden seien. Damit stünden seine Beiträge in einem engen zeitlichen Zusammenhang mit seiner Aus- reise und seinem Asylgesuch in der Schweiz sowie der Einleitung von Er- mittlungen gegen ihn. Ferner sei darauf hinzuweisen, dass die eingereichten Dokumente, na- mentlich der Antrag auf Ausstellung eines Vorführbefehls, der Vorführbe- schluss und der Vorführbefehl sowie auch der Trennungsbeschluss und der Unzuständigkeitsbeschluss abgesehen von der Nennung des Delikts keinen materiellen Inhalt aufweisen, sondern aus standardisierten Baustei- nen bestehen würden. Sie würden darum keinen Rückschluss auf das Ver- gehen zulassen, das ihm konkret vorgeworfen werde. Zudem verfügten diese Dokumente und auch die polizeilichen Untersuchungsberichte über keinerlei Sicherheitsmerkmale. Diese Dokumente würden sich daher sehr einfach fälschen lassen, weshalb sie lediglich einen geringen Beweiswert hätten. Diese Dokumente könnten in der Türkei problemlos gegen Entgelt beschafft werden.</w:t>
      </w:r>
    </w:p>
    <w:p>
      <w:r>
        <w:rPr>
          <w:b/>
        </w:rPr>
        <w:t>E. 5.2</w:t>
      </w:r>
    </w:p>
    <w:p>
      <w:r>
        <w:t>Dem entgegnen die Beschwerdeführenden in ihrer Beschwerde im We- sentlichen, der Beschwerdeführer sei in den Fokus der türkischen Behör- den geraten, als er im Jahr 2013 an den Gezi-Protesten teilgenommen habe und weil der Schwager seiner Tante ms. eine hohe Position bei der PKK innehabe. Nach seinem Umzug nach Antalya im Jahr 2017 sei er der TIP beigetreten und er sei den Behörden durch seine politischen Aktivitäten aufgefallen. Dabei sei er bei Kundgebungen von der Polizei fotografiert und mit Tränengas vertrieben worden. Gegen den Beschwerdeführer sei ein</w:t>
      </w:r>
    </w:p>
    <w:p>
      <w:r>
        <w:t>D-4774/2024 Seite 8 Ermittlungsverfahren wegen Präsidentenbeleidigung und Propaganda für eine Terrororganisation eröffnet und es sei zusätzlich ein Festnahmebefehl erlassen worden. Er habe Angst in der Türkei verhaftet und eingesperrt zu werden. Die Dokumente enthielten überprüfbare Sicherheitsmerkmale wie zum Beispiel QR-Codes, die Dokumente seien daher nicht leicht fälschbar. Auf dem Vorführbefehl stehe, dass dieser zwecks Verhaftung ausgestellt worden sei. Der Beschwerdeführer werde entgegen der Auffassung der Vorinstanz nach der Anhörung nicht wieder freigelassen. Schliesslich sei für die Beurteilung einer zukünftigen Verfolgung des Beschwerdeführers auch die Situation in der Türkei zu berücksichtigen, wobei seit Juni respek- tive November 2015 eine deutliche Verschlechterung der Menschenrechts- lage erkennbar sei. Bei einer Rückkehr in die Türkei sei mit überwiegender Wahrscheinlichkeit davon auszugehen, dass die türkischen Behörden den Beschwerdeführer angesichts seiner familiären Verbindungen und seines politischen Hintergrunds als Regimegegner erkennen würden. Die Polizei habe mehrmals nach seiner Ausreise bei seiner letzten Wohnadresse Raz- zien durchgeführt und nach ihm gefragt. Der Grund dafür sei, dass er in den sozialen Medien Propaganda betrieben und den Staatspräsidenten beleidigt habe. Dem Beschwerdeführer drohe eine mehrjährige Haftstrafe, was flüchtlingsrechtlich relevant sei. Dem Beschwerdeführer drohe ein un- faires Verfahren in der Türkei und er würde im Rahmen des polizeilichen Ermittlungsverfahrens misshandelt werden. Die Beschwerdeführerin habe die Türkei aufgrund der Probleme ihres Ehemannes verlassen.</w:t>
      </w:r>
    </w:p>
    <w:p>
      <w:r>
        <w:rPr>
          <w:b/>
        </w:rPr>
        <w:t>E. 6.1</w:t>
      </w:r>
    </w:p>
    <w:p>
      <w:r>
        <w:t>Das Bundesverwaltungsgericht kommt nach Durchsicht der Akten zum Schluss, dass das SEM die Asylgesuche der Beschwerdeführenden zu Recht abgewiesen und sie nicht als Flüchtlinge anerkannt hat. Dabei kann auf die zutreffenden Ausführungen in der angefochtenen Verfügung ver- wiesen werden (vgl. SEM-Verfügung vom 19. Juli 2024, S. 5-10).</w:t>
      </w:r>
    </w:p>
    <w:p>
      <w:r>
        <w:rPr>
          <w:b/>
        </w:rPr>
        <w:t>E. 6.2</w:t>
      </w:r>
    </w:p>
    <w:p>
      <w:r>
        <w:t>Aus den laufenden Strafverfahren wegen Propaganda für eine Terror- organisation und wegen Präsidentenbeleidigung ergibt sich keine asylrele- vante Gefährdung. Dabei kann auf die aktuelle Praxis betreffend staatsan- waltschaftliche Ermittlungsverfahren verwiesen werden, die für sich alleine nicht zur Bejahung der Flüchtlingseigenschaft ausreichen. Vielmehr würde dies zusätzliche Risikofaktoren wie etwa das Vorliegen einschlägiger Vor- strafen oder ein exponiertes politisches Profil voraussetzen (vgl. Referenz- urteil des BVGer E-4103/2024 vom 8. November 2024 E. 8). Der Be- schwerdeführer macht zwar geltend, Mitglied der TIP und dort so etwas wie ein Organisator gewesen zu sein und eine Art Brückenfunktion innerhalb</w:t>
      </w:r>
    </w:p>
    <w:p>
      <w:r>
        <w:t>D-4774/2024 Seite 9 der Jugend gehabt zu haben (vgl. SEM-act. A27/12 F66). Aus diesen Tä- tigkeiten lässt sich jedoch noch kein exponiertes politisches Profil ableiten. Seine Tätigkeiten sind vielmehr als niederschwellig einzustufen. Daran än- dert auch die Tatsache nichts, dass der Schwager seiner Tante ms. eine hohe Position bei der PKK innehat und er deswegen in Istanbul Probleme mit den Behörden hatte (vgl. SEM-act. A27/12 F53, F56). Auch der auf Be- schwerdeebene nachgereichte UYAP-Auszug vermag daran nichts zu än- dern.</w:t>
      </w:r>
    </w:p>
    <w:p>
      <w:r>
        <w:rPr>
          <w:b/>
        </w:rPr>
        <w:t>E. 6.3</w:t>
      </w:r>
    </w:p>
    <w:p>
      <w:r>
        <w:t>Das Gericht verkennt nicht, dass Angehörige der kurdischen Bevölke- rung in der Türkei regelmässig Schikanen und Benachteiligungen ausge- setzt sind, wobei auch die vier Ingewahrsamnahme im Jahr 2023 darunter- fallen (vgl. SEM-act. A27/12 F53). Indessen führen solche allgemein die kurdische Bevölkerungsgruppe betreffende Nachteile praxisgemäss nicht zur Anerkennung der Flüchtlingseigenschaft, da sie die Schwelle der Asyl- relevanz im Sinne von Art. 3 AsylG in der Regel – und so auch vorliegend – nicht erreichen (vgl. Referenzurteil E-4103/2024, a.a.O., E. 7.1).</w:t>
      </w:r>
    </w:p>
    <w:p>
      <w:r>
        <w:rPr>
          <w:b/>
        </w:rPr>
        <w:t>E. 6.4</w:t>
      </w:r>
    </w:p>
    <w:p>
      <w:r>
        <w:t>Die Ingewahrsamnahme im Jahr 2015 oder 2016, bei der es zu massi- ver körperlicher und sexueller Gewalt gekommen sein soll (vgl. SEM- act. A27/12 F53), ist zu verurteilen, kann jedoch nicht als kausal für die Ausreise des Beschwerdeführers in Betracht gezogen werden, da dieses Ereignis über neun oder zehn Jahre zurückliegt. Das Asylrecht dient nicht dazu, vergangenes Unrecht wieder gutzumachen. Auch der erlittene Pfef- fergasangriff anlässlich der Gezi-Proteste im Jahr 2013 (vgl. SEM- act. A27/12 F53, A26/10 F41) war zeitlich nicht kausal für die Ausreise des Beschwerdeführers aus der Türkei und dürfte im Übrigen die für die Aner- kennung der Flüchtlingseigenschaft erforderliche Intensität eines ernsthaf- ten Nachteils nicht erreicht haben.</w:t>
      </w:r>
    </w:p>
    <w:p>
      <w:r>
        <w:rPr>
          <w:b/>
        </w:rPr>
        <w:t>E. 6.5</w:t>
      </w:r>
    </w:p>
    <w:p>
      <w:r>
        <w:t>Die Beschwerdeführerin macht selbst keine eigenen Asylgründe gel- tend, sondern ist aufgrund der Asylgründe ihres Mannes in die Schweiz gekommen (vgl. SEM-act. A26/12 F41, F53), entsprechend erübrigen sich hierzu weitere Ausführungen.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D-4774/2024 Seite 10</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w:t>
      </w:r>
    </w:p>
    <w:p>
      <w:r>
        <w:t>D-4774/2024 Seite 11 Verfahren keine Anwendung finden. Eine Rückkehr der Beschwerde- führenden in den Heimatstaat ist demnach unter dem Aspekt von Art. 5 AsylG rechtmässig.</w:t>
      </w:r>
    </w:p>
    <w:p>
      <w:r>
        <w:rPr>
          <w:b/>
        </w:rPr>
        <w:t>E. 8.2.5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gesundheitliche Situation des Be- schwerdeführers (vgl. unten E. 8.3.4) sowie die allgemeine Menschen- rechtssituation in der Türkei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im Südos- ten des Landes sowie der Entwicklungen nach dem Putschversuch vom Juli 2016 ist gemäss Praxis des Bundesverwaltungsgerichts – auch für Kur- den – nicht von einer Situation allgemeiner Gewalt oder bürgerkriegsähnli- chen Verhältnissen in der gesamten Türkei auszugehen (vgl. (vgl. Refe- renzurteil E-4103/2024 a.a.O. E. 13.2 m.w.H).</w:t>
      </w:r>
    </w:p>
    <w:p>
      <w:r>
        <w:t>D-4774/2024 Seite 12</w:t>
      </w:r>
    </w:p>
    <w:p>
      <w:r>
        <w:rPr>
          <w:b/>
        </w:rPr>
        <w:t>E. 8.3.3</w:t>
      </w:r>
    </w:p>
    <w:p>
      <w:r>
        <w:t>Ferner sprechen auch keine individuellen Gründe gegen einen Voll- zug der Wegweisung. Der Beschwerdeführer stammt aus D._______ und ist im Jahr 2007 nach Istanbul gezogen. Dort hat er bis im Jahr 2017 gelebt und ist anschliessend nach Antalya gezogen. Es ist anzunehmen, dass die Beschwerdeführenden bei einer Rückkehr erneut bei ihrer Familie unter- kommen können, zumal der Beschwerdeführer mit dieser in engem Kon- takt steht (vgl. SEM-act. A27/12 F49). Darüber hinaus wird es dem Be- schwerdeführer möglich sein, wirtschaftlich in der Türkei Fuss zu fassen, da er als Chauffeur und als Fliesenleger arbeitete. Es ist anzunehmen, dass er wieder vergleichbare Arbeiten finden wird. Die Beschwerdeführerin arbeitete über zehn Jahre in der Textilproduktion (vgl. SEM-act. A26/10 F16, F19). Darüber hinaus hat der Beschwerdeführer selbst zu Protokoll gegeben, dass seine finanzielle Situation in der Türkei gut war (vgl. SEM- act. A27/12 F29).</w:t>
      </w:r>
    </w:p>
    <w:p>
      <w:r>
        <w:rPr>
          <w:b/>
        </w:rPr>
        <w:t>E. 8.3.4</w:t>
      </w:r>
    </w:p>
    <w:p>
      <w:r>
        <w:t>Betreffend den Gesundheitszustand des Beschwerdeführers ist fest- zustellen, dass dieser gemäss den eingereichten medizinischen Berichten an einer posttraumatischen Belastungsstörung, einer depressiven Verstim- mung und Sozialphobie leidet, er im Mai 2024 kurzzeitig hospitalisiert wer- den musste, sich sein Gesundheitszustand wieder verbessert hat und er sich in psychotherapeutischer Behandlung befindet. Da jedoch eine post- traumatische Belastungsstörung sowie die Depression auch in der Türkei behandelt werden kann (vgl. Urteil des BVGer D-3565/2024 vom 19. Feb- ruar 2025 E. 9.2.3), ist keine medizinische Notlage anzunehmen, die zu einer lebensbedrohlichen gesundheitlichen Beeinträchtigung führen würde. Sodann steht es ihm offen, für die lückenlose Fortsetzung der me- dikamentösen Behandlung vor seiner Ausreise aus der Schweiz einen Me- dikamentenvorrat anzulegen und im Rahmen der individuellen Rückkehr- hilfe finanzielle Unterstützung zur Erleichterung der Eingliederung oder zur befristeten medizinischen Betreuung in der Heimat zu beantragen (vgl. Art. 93 Abs. 1 Bst. d AsylG i.V.m. Art. 75 der Asylverordnung 2 über Finan- zierungsfragen vom 11. August 1999 [AsylV 2, SR 142.312]).</w:t>
      </w:r>
    </w:p>
    <w:p>
      <w:r>
        <w:rPr>
          <w:b/>
        </w:rPr>
        <w:t>E. 8.3.5</w:t>
      </w:r>
    </w:p>
    <w:p>
      <w:r>
        <w:t>Schliesslich ist das Kind der Beschwerdeführenden noch sehr jung und sind den Akten auch sonst keine Hinweise zu entnehmen, die darauf schliessen lassen würden, dass das Kindeswohl gegen den angeordneten Vollzug der Wegweisung sprechen würde.</w:t>
      </w:r>
    </w:p>
    <w:p>
      <w:r>
        <w:rPr>
          <w:b/>
        </w:rPr>
        <w:t>E. 8.3.6</w:t>
      </w:r>
    </w:p>
    <w:p>
      <w:r>
        <w:t>Nach dem Gesagten erweist sich der Vollzug der Wegweisung auch als zumutbar.</w:t>
      </w:r>
    </w:p>
    <w:p>
      <w:r>
        <w:t>D-4774/2024 Seite 13</w:t>
      </w:r>
    </w:p>
    <w:p>
      <w:r>
        <w:rPr>
          <w:b/>
        </w:rPr>
        <w:t>E. 8.4</w:t>
      </w:r>
    </w:p>
    <w:p>
      <w:r>
        <w:t>Schliesslich obliegt es den Beschwerdeführenden, sich bei der zustän- digen Vertretung des Heimatstaates die für eine Rückkehr notwendigen Reisedokumente zu beschaffen (vgl.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Das Gesuch um Gewährung der unentgeltlichen Prozessführung ist abzuweisen, da sich die Beschwerdebegehren entsprechend den vorste- henden Erwägungen von vornherein als aussichtslos erwiesen haben. Das Gesuch um Verzicht auf Erhebung eines Kostenvorschusses wird mit dem vorliegenden Direktentscheid gegenstandslos.</w:t>
      </w:r>
    </w:p>
    <w:p>
      <w:r>
        <w:rPr>
          <w:b/>
        </w:rPr>
        <w:t>E. 10.2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D-4774/2024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