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D-4773/2018 vom 11. September 2018</w:t>
      </w:r>
    </w:p>
    <w:p>
      <w:r>
        <w:t>Bundesverwaltungsgericht, 2018-09-11, DE</w:t>
      </w:r>
    </w:p>
    <w:p>
      <w:r>
        <w:rPr>
          <w:b/>
        </w:rPr>
        <w:t xml:space="preserve">Quelle: </w:t>
      </w:r>
      <w:r>
        <w:t>https://mcp.opencaselaw.ch/entscheid/bvger_D-4773_2018</w:t>
      </w:r>
    </w:p>
    <w:p>
      <w:r>
        <w:t>FR: TAF D-4773/2018 du 11 septembre 2018</w:t>
      </w:r>
    </w:p>
    <w:p>
      <w:r>
        <w:t>IT: TAF D-4773/2018 del 11 settembre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Da das Beschwerdeverfahren mit vorliegendem Direktentscheid abgeschlossen ist, erweist sich der Antrag auf vorsorgliche Massnahmen (Anweisung der zuständigen Behörde zur Unterlassung der Kontaktaufnahme mit den Behörden des Heimatstaats und Datenweitergabe an dieselben), welche ohnehin nur für die Dauer des Beschwerdeverfahrens wirksam wären, als gegenstandslos. Da im Übrigen aus den dem Gericht vorliegenden Akten (die erfahrungsgemäss allerdings nicht sämtliche Vorgänge im Zusammenhang mit der Vorbereitung des Wegweisungsvollzugs abbilden), keine solche Datenbekanntgabe hervorgeht, ist auf den diesbezügliche Antrag, entsprechend orientiert zu werden, ebenfalls als gegenstandslos nicht einzutreten.</w:t>
      </w:r>
    </w:p>
    <w:p>
      <w:r>
        <w:rPr>
          <w:b/>
        </w:rPr>
        <w:t>E. 4.1</w:t>
      </w:r>
    </w:p>
    <w:p>
      <w:r>
        <w:t>Zur Begründung ihrer abweisenden Verfügung führte die Vorinstanz aus, dass die Vorbringen der Beschwerdeführerin nicht asylrelevant im Sinne von Art. 3 AsylG seien. Aus den dargelegten Ereignissen im Zusammenhang mit dem Verkehrsunfall des C._______ in den Neunzigerjahren, welche sie, beziehungsweise die Familienangehörigen dazu bewogen haben, nach Dohuk umzuziehen, lasse sich für sie und ihre Familie keine Verfolgungsfurcht im Sinne von Art. 3 AsylG ableiten. Hierfür müssten hinreichende Anhaltspunkte für eine konkrete Bedrohung vorhanden sein, die auf einer objektiven Betrachtungsweise und nicht auf dem subjektiven Empfinden der Betroffenen fusse. Solche konkreten Hinweise seien den Schilderungen der Beschwerdeführerin nicht zu entnehmen. Gemäss ihren Angaben sei weder ihr noch ihren Familienangehörigen je etwas zugestossen. Sie habe keinerlei Kenntnisse bezüglich allfälligen Verfolgungsbemühungen vonseiten der Opferfamilie. Zudem könne sie keine Angaben zu den angeblichen Verfolgern machen, was nicht dafür spreche, dass sie sich tatsächlich bedroht gefühlt oder sich zumindest mit einer möglichen Gefährdung auseinandergesetzt habe. So gebe sie auch an, von diesem Konflikt mit der Opferfamilie nur gehört, jedoch nie etwas gesehen zu haben. Als fluchtauslösendes Element habe sie die Anwesenheit der besagten Familie im Nordirak erwähnt. Aus dieser Information alleine lasse sich keine unmittelbare Verfolgungsfurcht ableiten. So sei objektiv nicht ersichtlich, inwiefern seitens der Opferfamilie ein konkretes Verfolgungsinteresse bestehe beziehungsweise inwiefern die erwähnte Familie über (...) Jahre nach dem Verkehrsunfall des C._______ an ihr oder ihren Familienmitgliedern einen Racheakt ausüben wolle. Da die geltend gemachte Bedrohungslage lediglich auf Vermutungen basiere, bestehe kein begründeter Anlass zur Annahme, dass sie mit beachtlicher Wahrscheinlichkeit und in absehbarer Zeit eine Verfolgung zu gewärtigen habe. Schliesslich seien auch den Akten des Vaters, der Mutter oder ihrer Geschwister keine konkreten Hinweise auf eine asylrelevante Bedrohungslage zu entnehmen.</w:t>
      </w:r>
    </w:p>
    <w:p>
      <w:r>
        <w:rPr>
          <w:b/>
        </w:rPr>
        <w:t>E. 4.2</w:t>
      </w:r>
    </w:p>
    <w:p>
      <w:r>
        <w:t>In der Beschwerde wird dagegen vorgebracht, dass entgegen der Ansicht der Vorinstanz eine Verfolgung beziehungsweise eine begründete Furcht vor zukünftiger Verfolgung im Sinne von Art. 3 AsylG vorliege. Der Irak könne das Leben der Bevölkerung nicht sichern und weil die Regierung unter Kontrolle der islamistischen Gruppen sei, würden die Frauen nicht geschützt. Obwohl die Sicherheitskräfte in D._______ sowie Dohuk von dieser Problematik Bescheid wüssten, hätten sie dagegen nichts unternommen. Der C._______ sei damals in einen Verkehrsunfall verwickelt gewesen, wobei drei Personen gestorben seien. Er sei deswegen verhaftet worden. Nach dreieinhalb Jahren Gefängnis sei er freigekommen und habe dann D._______ verlassen müssen. Er sei jedoch zurückgekehrt, weil er seine Mutter habe besuchen wollen und sei dann leider durch die Opferfamilie getötet worden. Dann habe diese Opferfamilie eine lange Zeit ihre Familie verfolgt, um Rache zu nehmen. Von D._______ sei die Beschwerdeführerin mit ihrer Familie in den Nordirak nach Dohuk umgezogen, wo das Leben eine Weile sicherer gewesen sei. Die Opferfamilie sei ihnen jedoch schliesslich auf die Spur gekommen, weshalb sie den Irak habe verlassen müssen.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 die Flüchtlingseigenschaft der Beschwerdeführerin gestützt auf die geltend gemachten Fluchtgründe aus den nachfolgenden Gründen zu Recht verneint hat.</w:t>
      </w:r>
    </w:p>
    <w:p>
      <w:r>
        <w:rPr>
          <w:b/>
        </w:rPr>
        <w:t>E. 6.2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Den durch die Beschwerdeführerin geltend gemachten Bedrohungen infolge Blutrache liegt kein asylrelevantes Motiv im Sinne dieser Bestimmung zugrunde (vgl. hierzu etwa die Urteile des BVGer E-4219/2015 vom 30. Juli 2015 S. 8 und D-2254/2015 vom 17. April 2015 E. 6). Ohnehin dürfte der Vorinstanz auch zuzustimmen sein, dass keine hinreichenden Anhaltspunkte für eine konkrete Bedrohung vorhanden sind, zumal die Beschwerdeführerin die vorgetragene Verfolgung in Dohuk nur auf vage Auskünfte von Verwandten beziehungsweise Bekannten stützen kann ([...]). Mithin liegt keine objektiv begründete subjektive Furcht vor.</w:t>
      </w:r>
    </w:p>
    <w:p>
      <w:r>
        <w:rPr>
          <w:b/>
        </w:rPr>
        <w:t>E. 6.3</w:t>
      </w:r>
    </w:p>
    <w:p>
      <w:r>
        <w:t>Geht die Verfolgung von nichtstaatlichen Akteuren aus, ist zu prüfen, ob die Beschwerdeführerin staatlichen Schutz beanspruchen kann (vgl. BVGE 2013/11 E. 5.1, 2010/57 E. 2 und 2008/12 E. 5). Gemäss BVGE 2008/4 sind die Sicherheits- und Justizbehörden der nordirakischen autonomen Region Kurdistan (Region des "Kurdistan Regional Government" [KRG]; das KRG-Gebiet wird seit Anfang 2015 durch die Provinzen Dohuk, Erbil, Suleymania sowie die von Letzterer abgespalteten Provinz Halabja gebildet) grundsätzlich in der Lage und willens, den Einwohnern der vier nordirakischen Provinzen Schutz vor Verfolgung zu gewähren (a.a.O. E. 6.1-6.7). Diese Einschätzung wurde mit dem Urteil des Bundesverwaltungsgerichts E-3737/2015 vom 14. Dezember 2015 (als Referenzurteil publiziert) bestätigt und hat weiterhin Gültigkeit. Vorliegend finden sich keine begründeten Hinweise auf eine Absenz des Schutzwillens oder der Schutzfähigkeit der Behörden. Die Beschwerdeführerin hat gemäss eigenen Angaben gar nicht bei den zuständigen staatlichen Organen um Schutz ersucht. Sie brachte lediglich vor, sie wisse nicht, "warum und dass die Grossen in dieser Sache" diskutiert hätten und sie, die Kleinen, nur hätten zuhören dürfen (vgl. act. A15, F51, F52). Die Beschwerdeführerin vermag mit ihren Ausführungen nicht darzulegen, die Behörden hätten ihr den erforderlichen Schutz verweigert oder würden dies in Zukunft tun, zumal auch keine Hinweise vorliegen, dass ihr die Hilfe aus einem der in Art. 3 AsylG genannten Gründe verweigert würde. Der geltend gemachten Gefahr vor Nachstellungen seitens privater Drittpersonen kommt daher keine asylrechtliche Relevanz zu.</w:t>
      </w:r>
    </w:p>
    <w:p>
      <w:r>
        <w:rPr>
          <w:b/>
        </w:rPr>
        <w:t>E. 6.4</w:t>
      </w:r>
    </w:p>
    <w:p>
      <w:r>
        <w:t>Zusammenfassend kann festgehalten werden, dass die durch die Beschwerdeführerin angeführten Gründe für das Verlassen ihres Heimatstaates keine Asylrelevanz im Sinne von Art. 3 AsylG zu entfalten vermögen, da kein asylrelevantes Verfolgungsmotiv ersichtlich ist und da die staatlichen Behörden im vorliegenden Fall als schutzfähig und schutzwillig zu qualifizieren sind und es der Beschwerdeführerin auch zuzumuten gewesen wäre, diesen Schutz in Anspruch zu nehmen statt den subsidiären Schutz des Asyls zu beanspruchen.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nach Dohuk ist demnach unter dem Aspekt von Art. 5 AsylG rechtmässig.</w:t>
      </w:r>
    </w:p>
    <w:p>
      <w:r>
        <w:rPr>
          <w:b/>
        </w:rPr>
        <w:t>E. 8.4.1</w:t>
      </w:r>
    </w:p>
    <w:p>
      <w:r>
        <w:t>Sodann ergeben sich weder aus den Aussagen der Beschwerdeführerin noch aus den Akten Anhaltspunkte dafür, dass sie für den Fall einer Ausschaffung in Dohuk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unter Verweis auf die Erwägungen zum Asylpunkt nicht gelungen.</w:t>
      </w:r>
    </w:p>
    <w:p>
      <w:r>
        <w:rPr>
          <w:b/>
        </w:rPr>
        <w:t>E. 8.4.2</w:t>
      </w:r>
    </w:p>
    <w:p>
      <w:r>
        <w:t>Auch die allgemeine Menschenrechtssituation in Dohuk lässt den Wegweisungsvollzug zum heutigen Zeitpunkt klarerweise nicht als unzulässig erscheinen (vgl. Referenzurteil des BVGer E-3737/2015 vom 14. Dezember 2015 E. 6.3; bestätigt in Urteil des BVGer D-3994/2016 vom 22. August 2017 E. 8.3).</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8.5.3</w:t>
      </w:r>
    </w:p>
    <w:p>
      <w:r>
        <w:t>Die Beschwerdeführerin ist in Dohuk aufgewachsen und hat die Schule bis zur (...) Klasse besucht ([...]). In Dohuk verfügt die Beschwerdeführerin nach wie vor über einen Onkel, bei dem sie früher mit ihrer Familie gewohnt hat ([...]) und dem es gut gehe ([...]). Zudem wurde die Familie in der Vergangenheit auch vom in der Schweiz wohnhaften Vater unterstützt ([...]). Angesichts dieser Umstände ist in Übereinstimmung mit den vorinstanzlichen Erwägungen von der Zumutbarkeit des Wegweisungsvollzuges auszugehen.</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Beschwerdeführerin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 Aufgrund obiger Erwägungen ist die eingereichte Beschwerde von vornherein als aussichtlos zu erachten, weshalb das Gesuch um Gewährung der unentgeltlichen Prozessführung indessen unbesehen einer allfälligen Mittellosigkeit abzuweisen ist. Mit vorliegendem Direktentscheid ist das Gesuch um Verzicht auf Erhebung eines Kostenvorschusses gegenstandslos geworden.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