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D-4768/2024 vom 17. August 2024</w:t>
      </w:r>
    </w:p>
    <w:p>
      <w:r>
        <w:t>Bundesverwaltungsgericht, 2024-08-17, IT</w:t>
      </w:r>
    </w:p>
    <w:p>
      <w:r>
        <w:rPr>
          <w:b/>
        </w:rPr>
        <w:t xml:space="preserve">Quelle: </w:t>
      </w:r>
      <w:r>
        <w:t>https://mcp.opencaselaw.ch/entscheid/bvger_D-4768_2024</w:t>
      </w:r>
    </w:p>
    <w:p>
      <w:r>
        <w:t>FR: TAF D-4768/2024 du 17 août 2024</w:t>
      </w:r>
    </w:p>
    <w:p>
      <w:r>
        <w:t>IT: TAF D-4768/2024 del 17 agosto 2024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parzialmente accolto.</w:t>
      </w:r>
    </w:p>
    <w:p>
      <w:r>
        <w:rPr>
          <w:b/>
        </w:rPr>
        <w:t>E. 2</w:t>
      </w:r>
    </w:p>
    <w:p>
      <w:r>
        <w:t>I dispositivi n. 3 e 4 della decisione della SEM del 19 luglio 2024 sono annullati. Gli atti di causa sono trasmessi all'autorità inferiore per il completamento dell'istruttoria e la pronuncia di una nuova decisione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Non si accordano indennità per spese ripetibili.</w:t>
      </w:r>
    </w:p>
    <w:p>
      <w:r>
        <w:rPr>
          <w:b/>
        </w:rPr>
        <w:t>E. 5</w:t>
      </w:r>
    </w:p>
    <w:p>
      <w:r>
        <w:t>Questa sentenza è comunicata ai ricorrenti, alla SEM e all'autorità cantonale competente. Il presidente del collegio: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