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D-4767/2020 vom 28. August 2020</w:t>
      </w:r>
    </w:p>
    <w:p>
      <w:r>
        <w:t>Bundesverwaltungsgericht, 2020-08-28, FR</w:t>
      </w:r>
    </w:p>
    <w:p>
      <w:r>
        <w:rPr>
          <w:b/>
        </w:rPr>
        <w:t xml:space="preserve">Quelle: </w:t>
      </w:r>
      <w:r>
        <w:t>https://mcp.opencaselaw.ch/entscheid/bvger_D-4767_2020_d20200828</w:t>
      </w:r>
    </w:p>
    <w:p>
      <w:r>
        <w:t>FR: TAF D-4767/2020 du 28 août 2020</w:t>
      </w:r>
    </w:p>
    <w:p>
      <w:r>
        <w:t>IT: TAF D-4767/2020 del 28 agosto 2020</w:t>
      </w:r>
    </w:p>
    <w:p>
      <w:pPr>
        <w:pStyle w:val="Heading2"/>
      </w:pPr>
      <w:r>
        <w:t>Regeste</w:t>
      </w:r>
    </w:p>
    <w:p>
      <w:r>
        <w:t>Asile et renvoi | Asile et renvoi; décision du SEM du 28 août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Les dernières dispositions de la modification du 25 septembre 2015 de la loi sur l’asile du 26 juin 1998, entrées en vigueur le 1er mars 2019 (ordonnance du 8 juin 2018 portant dernière mise en vigueur de la modification du 25 septembre 2015 de la loi sur l’asile [RO 2018 2855]), ne s’appliquent pas à la présente cause, qui est dès lors régie par l’ancien droit (al. 1 des dispositions transitoires de la modification du 25 septembre 2015, RO 2016 3101, spéc. 3123 ; FF 2014 7771).</w:t>
      </w:r>
    </w:p>
    <w:p>
      <w:r>
        <w:rPr>
          <w:b/>
        </w:rPr>
        <w:t>E. 1.2</w:t>
      </w:r>
    </w:p>
    <w:p>
      <w:r>
        <w:t>L’intéressée a qualité pour recourir (art. 48 al. 1 PA).</w:t>
      </w:r>
    </w:p>
    <w:p>
      <w:r>
        <w:t>D-4767/2020 Page 6</w:t>
      </w:r>
    </w:p>
    <w:p>
      <w:r>
        <w:rPr>
          <w:b/>
        </w:rPr>
        <w:t>E. 1.3</w:t>
      </w:r>
    </w:p>
    <w:p>
      <w:r>
        <w:t>Présenté dans la forme et le délai prescrits par la loi, le recours est recevable (art. 52 al. 1 PA, art. 108 al. 1 aLAsi).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2.3</w:t>
      </w:r>
    </w:p>
    <w:p>
      <w:r>
        <w:t>Quiconque demande l'asile (requérant) doit prouver ou du moins rendre vraisemblable qu'il est un réfugié. La qualité de réfugié est</w:t>
      </w:r>
    </w:p>
    <w:p>
      <w:r>
        <w:t>D-4767/2020 Page 7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w:t>
      </w:r>
    </w:p>
    <w:p>
      <w:r>
        <w:t>D-4767/2020 Page 8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E-2562/2022 du 8 avril 2024 consid. 3.3, E-1844/2020 du 13 septembre 2023 consid. 6.2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w:t>
      </w:r>
    </w:p>
    <w:p>
      <w:r>
        <w:t>En l’espèce, force est de constater que les propos de la recourante ne remplissent pas les conditions pour la reconnaissance de la qualité de réfugié et l’octroi de l’asile.</w:t>
      </w:r>
    </w:p>
    <w:p>
      <w:r>
        <w:rPr>
          <w:b/>
        </w:rPr>
        <w:t>E. 3.1</w:t>
      </w:r>
    </w:p>
    <w:p>
      <w:r>
        <w:t>Dans sa décision, le SEM a retenu, sur le plan de la vraisemblance, qu’il était sujet à caution que l’intéressée ne puisse raconter les circonstances dans lesquelles son amie lui avait parlé de la religion chrétienne, ce d’autant plus qu’il s’agissait d’un cadre professionnel. Aussi, le récit de la recourante était dépourvu d’éléments significatifs attestant la réalité des événements vécus ; malgré le fait qu’elle se serait prétendument rendue à de nombreuses reprises dans la même église, l’intéressée n’avait pas relaté un quelconque élément spécifique relatif à sa participation, en particulier concernant ses échanges avec d’autres fidèles. Vu le caractère secret de ces cultes, il était illogique, selon l’autorité de première instance, que B._______ détienne une liste sur laquelle figureraient les données personnelles de A._______. En outre, le comportement des autorités à l’égard de A._______ n’était pas logique, dans la mesure où elles n’avaient rien entrepris après la première perquisition et la saisie de documents prétendument compromettants, y</w:t>
      </w:r>
    </w:p>
    <w:p>
      <w:r>
        <w:t>D-4767/2020 Page 9 compris un journal intime. Dans cette hypothèse, tout portait à croire que dites autorités n’auraient pas attendu plusieurs mois avant de perquisitionner une nouvelle fois le domicile de l’intéressée. Ces éléments d’invraisemblance étaient encore renforcés par la prétendue convocation du père de la requérante auprès d’un tribunal révolutionnaire, près d’une année après son départ, sans qu’aucune mesure concrète ne soit prise, par exemple, à l’égard de sa famille. En fin de compte, pour le SEM, le fait que la recourante avait été baptisée en Suisse ne prouvait pas qu’elle ferait l’objet de persécutions futures dans son pays d’origine, la simple production d’un certificat de baptême n’étant pas, à lui seul, susceptible de prouver une pratique religieuse l’exposant à un danger de persécution en cas de retour en Iran.</w:t>
      </w:r>
    </w:p>
    <w:p>
      <w:r>
        <w:rPr>
          <w:b/>
        </w:rPr>
        <w:t>E. 3.2</w:t>
      </w:r>
    </w:p>
    <w:p>
      <w:r>
        <w:t>Dans son mémoire de recours, A._______ conteste l’appréciation du SEM. Elle soutient en particulier que, lors de l’audition complémentaire sur les motifs d’asile, l’interprète s’exprimait en dari, et non en farsi. La compréhension durant dite audition avait ainsi été compliquée pour ce motif, constat que d’autres personnes présentes à l’audition avaient également fait. L’intéressée reproche ensuite au SEM d’avoir considéré qu’elle n’avait donné que des informations fragmentées sur la façon dont B._______ avait abordé la thématique religieuse ; il était en effet impossible de donner les motifs ayant poussé la prénommée à s’exprimer à ce sujet, l’obligeant ainsi à spéculer sur dits motifs. La recourante affirme ensuite que, contrairement à ce qu’en conclut l’autorité de première instance, elle avait donné de nombreux détails sur sa participation aux cultes. Il ne pouvait pas non plus lui être fait grief de ne pas avoir été en mesure d’avoir plus d’informations sur les autres participants, motif pris qu’elle avait avant tout eu des contacts avec C._______ et que la raison de sa venue n’était pas de faire de nouvelles rencontres. Quant à la liste sur laquelle figurait son nom, la recourante explique qu’elle ne pouvait que donner des informations partielles vu qu’elle n’était pas au courant de son existence. Dans ces circonstances, son récit restait plausible et authentique.</w:t>
      </w:r>
    </w:p>
    <w:p>
      <w:r>
        <w:t>D-4767/2020 Page 10 Pour le reste, le comportement des autorités iraniennes ne pouvait pas lui être reproché, celles-ci agissant surtout de manière injuste. Il était donc tout à fait probable qu’aucune autre mesure n’ait été prise à son encontre pendant un certain temps.</w:t>
      </w:r>
    </w:p>
    <w:p>
      <w:r>
        <w:rPr>
          <w:b/>
        </w:rPr>
        <w:t>E. 3.3</w:t>
      </w:r>
    </w:p>
    <w:p>
      <w:r>
        <w:t>En l’occurrence, le Tribunal ne peut que se rallier à l’appréciation du SEM sur l’invraisemblance des motifs d’asile allégués par la recourante.</w:t>
      </w:r>
    </w:p>
    <w:p>
      <w:r>
        <w:rPr>
          <w:b/>
        </w:rPr>
        <w:t>E. 3.3.1</w:t>
      </w:r>
    </w:p>
    <w:p>
      <w:r>
        <w:t>Tout d’abord, contrairement à ce que laisse entendre la recourante, aucun problème de communication ni de compréhension ne peut être constaté en raison d’un problème linguistique. En effet, l’ensemble des auditions, auxquelles a participé l’intéressée, a été mené en langue farsi, y compris l’audition complémentaire sur les motifs d’asile. Or, en prétendant que l’interprète parlait à cette occasion le dari et non le farsi, la recourante contredit l’indication formulée sur le procès-verbal de l’audition, à savoir que celle-ci a été menée en langue farsi (cf. procès-verbal [ci-après : p.-v.] du 4 août 2020, « Rückübersetzung des Protokolls » p. 17). Dans ces circonstances, elle ne peut pas valablement soutenir que, pour cette raison, son discours a été impacté et que les autres personnes présentes lors de l’audition complémentaire avaient également relevé ces problèmes de communication. La seule remarque figurant au procès-verbal se rapporte uniquement à la communication non verbale entre les personnes présentes à l’audition, élément que rapporte le représentant des œuvres d’entraide ; en raison des mesures contre la COVID-19, il n’était pas en mesure d’observer dite communication et de formuler certaines remarques si nécessaire (cf. « Unterschriftenblatt der Hilfswerkvertretung [HMV] gemäss Art. 30 Abs. 4 AsylG, Beobachtung der Anhörung »).</w:t>
      </w:r>
    </w:p>
    <w:p>
      <w:r>
        <w:rPr>
          <w:b/>
        </w:rPr>
        <w:t>E. 3.3.2</w:t>
      </w:r>
    </w:p>
    <w:p>
      <w:r>
        <w:t>L’on ne peut certes pas attendre de la recourante qu’elle raconte l’ensemble des événements vécus dans le moindre des détails. Il n’en demeure pas moins qu’elle n’a aucunement expliqué les circonstances entourant les discussions religieuses qu’elle aurait menées sur son lieu de travail avec sa collègue. Même si cet événement allégué remonte à plusieurs années, le contexte spécifique dans lequel l’initiation religieuse de la recourante aurait débuté – à savoir professionnel – devrait d’autant plus contenir des détails attestant d’un réel vécu. Or, à la lecture des procès-verbaux d’audition, tel n’est pas le cas.</w:t>
      </w:r>
    </w:p>
    <w:p>
      <w:r>
        <w:t>D-4767/2020 Page 11</w:t>
      </w:r>
    </w:p>
    <w:p>
      <w:r>
        <w:rPr>
          <w:b/>
        </w:rPr>
        <w:t>E. 3.3.3</w:t>
      </w:r>
    </w:p>
    <w:p>
      <w:r>
        <w:t>Ensuite, le récit de A._______ est tout autant pauvre en détails sur sa prétendue participation à des cultes religieux en Iran. Comme l’a relevé à bon escient le SEM, les propos rapportés lors de l’audition des motifs d’asile ne comportent aucun élément tendant à mettre en évidence que la prénommée a effectivement participé à dits cultes. Si l’on ne peut certes pas s’attendre à ce qu’elle donne de nombreux détails sur les autres participants, vu le caractère secret et le danger relatif à dite participation, rien ne justifie qu’elle ne soit pas en mesure de donner des détails entourant ces cultes. En outre, l’attitude de la recourante comporte également des contradictions à cet égard. Sachant que ces réunions devaient rester discrètes et que tous les participants devaient utiliser un nom d’emprunt, il n’est pas logique que l’intéressée se présente directement au prêtre et donne de nombreuses informations personnelles la concernant, sans autre précaution (cf. p.-v. du 3 juin2019, Q63 p. 17).</w:t>
      </w:r>
    </w:p>
    <w:p>
      <w:r>
        <w:rPr>
          <w:b/>
        </w:rPr>
        <w:t>E. 3.3.4</w:t>
      </w:r>
    </w:p>
    <w:p>
      <w:r>
        <w:t>L’argumentation liée à la prétendue liste de personnes souhaitant être baptisées n’est pas non plus convaincante. Comme relevé ci-avant, vu le caractère secret de ces réunions, il n’est pas logique que B._______ détienne une liste de personnes souhaitant être baptisées, au risque que dite liste tombe entre les mains des autorités iraniennes. Le fait que la recourante ne puisse que donner des informations partielles à cet égard n’enlève rien au caractère invraisemblable de cet élément.</w:t>
      </w:r>
    </w:p>
    <w:p>
      <w:r>
        <w:rPr>
          <w:b/>
        </w:rPr>
        <w:t>E. 3.3.5</w:t>
      </w:r>
    </w:p>
    <w:p>
      <w:r>
        <w:t>Par ailleurs, le comportement allégué des autorités iraniennes n’est pas crédible. Lors de la première perquisition, la requérante a déclaré que de nombreux documents personnels avaient été saisis, dont certains compromettants. Depuis cet événement, dites autorités n’avaient entrepris aucune mesure supplémentaire, hormis de se rendre, quelques mois plus tard, à ce même domicile, afin notamment d’arrêter le frère de l’intéressée. Contrairement à ce que soutient celle-ci, il ne peut être déduit, sur la base de la simple hypothèse que les autorités agissent de manière injuste, qu’elles se soient réellement intéressées à sa personne. À supposer que les autorités iraniennes aient réellement porté un intérêt concret à son encontre, ce qui n’est pas démontré en l’état, celles-ci auraient, à l’évidence, pris des mesures plus incisives et déterminées. La prétendue convocation du père de la recourante auprès d’un tribunal révolutionnaire, plus d’une année après le départ d’Iran de celle-ci, ne saurait modifier cette appréciation. Outre le caractère surprenant d’une telle convocation, il est peu crédible qu’il aurait été menacé, à cette</w:t>
      </w:r>
    </w:p>
    <w:p>
      <w:r>
        <w:t>D-4767/2020 Page 12 occasion, afin de donner diverses informations sur sa fille ; en effet, à supposer que les autorités iraniennes souhaitaient réellement obtenir des informations sur celle-ci, elles n’auraient pas attendu près d’une année avant de le convoquer. Du reste, comme l’a retenu à juste titre le SEM, aucune autre démarche n’a été prise à l’encontre de membres de sa famille.</w:t>
      </w:r>
    </w:p>
    <w:p>
      <w:r>
        <w:rPr>
          <w:b/>
        </w:rPr>
        <w:t>E. 3.3.6</w:t>
      </w:r>
    </w:p>
    <w:p>
      <w:r>
        <w:t>En tout état de cause, le récit de A._______ sur ses motifs de fuite ne remplit pas les exigences en matière d’indices de réalité (« Realkennzeichen »). Comme examiné ci-dessus, la prénommée ne peut pas se prévaloir d’avoir effectivement vécu les événements allégués.</w:t>
      </w:r>
    </w:p>
    <w:p>
      <w:r>
        <w:rPr>
          <w:b/>
        </w:rPr>
        <w:t>E. 3.3.7</w:t>
      </w:r>
    </w:p>
    <w:p>
      <w:r>
        <w:t>Enfin, comme l’a retenu le SEM, le baptême célébré en Suisse ne saurait rendre vraisemblable les motifs d’asile de A._______ ni de mesures de persécution à son encontre en Iran. De même, il ne constitue pas, à lui seul, la preuve d’une pratique religieuse susceptible de l’exposer à un danger de persécution à son retour.</w:t>
      </w:r>
    </w:p>
    <w:p>
      <w:r>
        <w:rPr>
          <w:b/>
        </w:rPr>
        <w:t>E. 3.4</w:t>
      </w:r>
    </w:p>
    <w:p>
      <w:r>
        <w:t>Il s'ensuit que le recours doit être rejeté, en tant qu’il porte sur le refus de la reconnaissance de la qualité de réfugié et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w:t>
      </w:r>
    </w:p>
    <w:p>
      <w:r>
        <w:t>D-4767/2020 Page 13 encore d'où elle risquerait d'être astreinte à se rendre dans un tel pays (art. 5 al. 1 LAsi). Nul ne peut être soumis à la torture ni à des peines ou traitements inhumains ou dégradants (art. 3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5.2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w:t>
      </w:r>
    </w:p>
    <w:p>
      <w:r>
        <w:t>D-4767/2020 Page 14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 Tribunal relève que l’intéressée n’a présenté aucun élément concret et sérieux permettant d’admettre qu’elle serait exposée en Iran à des traitements inhumains ou dégradants (art. 3 CEDH et 3 Conv. torture).</w:t>
      </w:r>
    </w:p>
    <w:p>
      <w:r>
        <w:rPr>
          <w:b/>
        </w:rPr>
        <w:t>E. 5.6</w:t>
      </w:r>
    </w:p>
    <w:p>
      <w:r>
        <w:t>Dès lors, l'exécution du renvoi de la recourante sous forme de refoulement ne transgresse aucun engagement de la Suisse relevant du droit international, de sorte qu'elle s'avère licite (art. 44 LAsi et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w:t>
      </w:r>
    </w:p>
    <w:p>
      <w:r>
        <w:t>D-4767/2020 Page 15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6.2 En outre, de jurisprudence constante, les difficultés socio-économiques auxquelles doit faire face la population locale ne suffisent pas en soi à réaliser une mise en danger concrète au sens de l’art. 83 al. 4 LEI (cf. notamment ATAF 2010/41 consid. 8.3.6). 6.3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 6.4 En l’espèce, la recourante est au bénéfice d’une formation universitaire, a également exercé en tant que (…) et est en bonne santé. Du reste, des membres de son réseau familial se trouvent encore en Iran et elle pourra ainsi, si cela devait s’avérer nécessaire, bénéficier de leur soutien. 6.5 En conclusion, le renvoi de la recourante ne la met pas concrètement en danger au sens de l’art. 83 al. 4 LEI, ce qu’elle ne conteste d’ailleurs pas. L’exécution du renvoi doit être considérée comme raisonnablement exigible. 7.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qu’elle est tenue de collaborer à l’obtention de tels documents (art. 8 al. 4 LAsi). L'exécution du renvoi ne se heurte donc pas à des obstacles insurmontables d'ordre technique et s'avère également possible (cf. ATAF 2008/34 consid. 12).</w:t>
      </w:r>
    </w:p>
    <w:p>
      <w:r>
        <w:t>D-4767/2020 Page 16 8.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9.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26 octobre 2020, admettant la demande d’assistance judiciaire partielle du 25 septembre 2020.</w:t>
      </w:r>
    </w:p>
    <w:p>
      <w:r>
        <w:t>(dispositif page suivante)</w:t>
      </w:r>
    </w:p>
    <w:p>
      <w:r>
        <w:t>D-4767/2020 Page 17</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6.2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6.3</w:t>
      </w:r>
    </w:p>
    <w:p>
      <w:r>
        <w:t>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rPr>
          <w:b/>
        </w:rPr>
        <w:t>E. 6.4</w:t>
      </w:r>
    </w:p>
    <w:p>
      <w:r>
        <w:t>En l'espèce, la recourante est au bénéfice d'une formation universitaire, a également exercé en tant que (...) et est en bonne santé. Du reste, des membres de son réseau familial se trouvent encore en Iran et elle pourra ainsi, si cela devait s'avérer nécessaire, bénéficier de leur soutien.</w:t>
      </w:r>
    </w:p>
    <w:p>
      <w:r>
        <w:rPr>
          <w:b/>
        </w:rPr>
        <w:t>E. 6.5</w:t>
      </w:r>
    </w:p>
    <w:p>
      <w:r>
        <w:t>En conclusion, le renvoi de la recourante ne la met pas concrètement en danger au sens de l'art. 83 al. 4 LEI, ce qu'elle ne conteste d'ailleurs pas.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qu'elle est tenue de collaborer à l'obtention de tels documents (art. 8 al. 4 LAsi).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26 octobre 2020, admettant la demande d'assistance judiciaire partielle du 25 septembre 2020. (dispositif page suivante)</w:t>
      </w:r>
    </w:p>
    <w:p>
      <w:r>
        <w:rPr>
          <w:b/>
        </w:rPr>
        <w:t>E. 10</w:t>
      </w:r>
    </w:p>
    <w:p>
      <w:r>
        <w:t>décembre 1984 contre la torture et autres peines ou traitements cruels, inhumains ou dégradants (Conv. torture [RS 0.105]).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