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D-4766/2022 vom 18. November 2022</w:t>
      </w:r>
    </w:p>
    <w:p>
      <w:r>
        <w:t>Bundesverwaltungsgericht, 2022-11-18, DE</w:t>
      </w:r>
    </w:p>
    <w:p>
      <w:r>
        <w:rPr>
          <w:b/>
        </w:rPr>
        <w:t xml:space="preserve">Quelle: </w:t>
      </w:r>
      <w:r>
        <w:t>https://mcp.opencaselaw.ch/entscheid/bvger_D-4766_2022</w:t>
      </w:r>
    </w:p>
    <w:p>
      <w:r>
        <w:t>FR: TAF D-4766/2022 du 18 novembre 2022</w:t>
      </w:r>
    </w:p>
    <w:p>
      <w:r>
        <w:t>IT: TAF D-4766/2022 del 18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1.2</w:t>
      </w:r>
    </w:p>
    <w:p>
      <w:r>
        <w:t>Das Bundesverwaltungsgericht berücksichtigt die vorinstanzlichen Akten der Ehefrau B._______ von Amtes wegen.</w:t>
      </w:r>
    </w:p>
    <w:p>
      <w:r>
        <w:rPr>
          <w:b/>
        </w:rPr>
        <w:t>E. 2.1</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offensichtlich begründete Beschwerde, weshalb der Beschwerdeentscheid nur summarisch zu begründen ist (Art. 111a Abs. 2 AsylG).</w:t>
      </w:r>
    </w:p>
    <w:p>
      <w:r>
        <w:rPr>
          <w:b/>
        </w:rPr>
        <w:t>E. 2.2</w:t>
      </w:r>
    </w:p>
    <w:p>
      <w:r>
        <w:t>Gestützt auf Art. 111a Abs. 1 AsylG wurde vorliegend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In der Beschwerdeschrift wird unter anderem geltend gemacht, die Vorinstanz habe sich nicht zu Art. 9 Dublin-III-VO geäussert, wonach derjenige Mitgliedstaat für die Prüfung des Asylgesuchs zuständig sei, in welchem die antragstellende Person Familienangehörige mit internationalem Schutzstatus habe - ungeachtet der Frage, ob die Familie bereits im Heimatstaat bestanden habe. Stattdessen verweise die Vorinstanz lediglich auf Art. 3 Dublin-III-VO, wonach im Falle eines Wiederaufnahmeersuchens keine Überprüfung der Zuständigkeit vorzunehmen sei. Im Übernahmeersuchen habe die Vorinstanz den deutschen Behörden jedoch nicht kommuniziert, dass sie keine eigene Zuständigkeitsprüfung vorgenommen habe. Ebenfalls werde seine Beziehung nur sehr knapp geschildert und es werde lediglich erwähnt, dass mangels persönlichem Kontakt nicht von einer Beziehung im Sinne von Art. 8 EMRK ausgegangen werden könne, weswegen Deutschland für die Prüfung seines Asylgesuchs zuständig sei. Dadurch habe die Vorinstanz gegenüber den deutschen Behörden relevante Informationen unterschlagen, womit das gestellte Ersuchen unzureichend sei. Auch könne aufgrund der kurzen Aufenthaltsdauer des Beschwerdeführers in Deutschland nicht davon ausgegangen werden, dass dort bereits eine Zuständigkeitsprüfung stattgefunden habe. Somit wäre bei einer Überstellung nach Deutschland in korrekter Anwendung von Art. 2 Bst. g sowie Art. 9 Dublin-III-VO eine Einreise in die Schweiz anzuordnen, was einer unverhältnismässigen und unzulässigen Kettenüberstellung gleichkäme.</w:t>
      </w:r>
    </w:p>
    <w:p>
      <w:r>
        <w:rPr>
          <w:b/>
        </w:rPr>
        <w:t>E. 6.1</w:t>
      </w:r>
    </w:p>
    <w:p>
      <w:r>
        <w:t>Für ein Wiederaufnahmegesuch gestützt auf Art. 23 Dublin-III-VO ist gemäss dessen Abs. 4 ein Standardformblatt zu verwenden, das Beweismittel oder Indizien im Sinne der beiden Verzeichnisse nach Art. 22 Abs. 3 Dublin-III-VO und/oder sachdienliche Angaben aus der Erklärung der betroffenen Person enthalten muss, anhand derer die Behörden des ersuchten Mitgliedstaats prüfen können, ob ihr Staat auf Grundlage der in der Dublin-III-VO festgelegten Kriterien zuständig ist.</w:t>
      </w:r>
    </w:p>
    <w:p>
      <w:r>
        <w:rPr>
          <w:b/>
        </w:rPr>
        <w:t>E. 6.2</w:t>
      </w:r>
    </w:p>
    <w:p>
      <w:r>
        <w:t>Das Bundesverwaltungsgericht hat bereits im Urteil D-1787/2013 vom 8. August 2013 E. 5 (bezüglich Art. 17 Abs. 3 Dublin-II-VO) festgehalten, das mit dem Formblatt gestellte Übernahmeersuchen müsse alle Informationen enthalten, anhand derer die Behörden des ersuchten Staats prüfen können, ob ihr Staat gemäss den in der Verordnung definierten Kriterien zuständig ist. Dies gilt auch in Bezug auf Art. 23 Abs. 4 Dublin-III-VO (vgl. Urteile D-6935/2016 vom 24. Januar 2017 E. 5.3.2 und F-1696/2019 vom 10. Mai 2019 E. 7.2.2).</w:t>
      </w:r>
    </w:p>
    <w:p>
      <w:r>
        <w:rPr>
          <w:b/>
        </w:rPr>
        <w:t>E. 6.2.1</w:t>
      </w:r>
    </w:p>
    <w:p>
      <w:r>
        <w:t>Im vorliegenden Fall ist die Vorinstanz mit dem in Art. 23 Abs. 4 Dublin-III-VO vorgesehenen Standardformblatt an die deutschen Behörden gelangt, hat es jedoch in Verletzung der soeben genannten Bestimmung unterlassen, ihnen mitzuteilen, dass die Ehefrau des Beschwerdeführers in der Schweiz als Flüchtling vorläufig aufgenommen und somit Begünstigte internationalen Schutzes ist. Dadurch hat die Vorinstanz ihre Informationspflicht gemäss Art. 22 Dublin-III-VO verletzt und es dem ersuchten Mitgliedstaat verunmöglicht, seine potenzielle Zuständigkeit gemäss der Dublin-III-VO zu prüfen. Hätten die deutschen Behörden in Kenntnis des Schutzstatus der Ehefrau über das Wiederaufnahmeersuchen entscheiden können, hätten sie dieses in Anwendung von Art. 9 Dublin-III-VO möglicherweise abgelehnt, und die Vorinstanz für die Prüfung des Asylgesuchs des Beschwerdeführers zuständig erklärt.</w:t>
      </w:r>
    </w:p>
    <w:p>
      <w:r>
        <w:rPr>
          <w:b/>
        </w:rPr>
        <w:t>E. 6.2.2</w:t>
      </w:r>
    </w:p>
    <w:p>
      <w:r>
        <w:t>Schliesslich ist festzuhalten, dass die Vorinstanz im Übernahmeersuchen an die deutschen Behörden in Bezug auf die Dauer und die Stabilität der Beziehung des Beschwerdeführers zu seiner Ehefrau unvollständige und potenziell irreführende Angaben gemacht hat, indem sie Folgendes festhielt: «The applicants in fact saw each other physically only twice in 2019 and in 2020 for about a month» (vgl. SEM-act. 21/3). Diese Formulierung lässt die Interpretation zu, die Beschwerdeführenden hätten sich insgesamt nur zweimal insgesamt während eines Monats gesehen, obwohl sie sich gemäss den Angaben des Beschwerdeführers im Jahr 2019 und 2020 je zweimal gesehen haben und dies für jeweils einen bis eineinhalb Monate (vgl. SEM-act. 15/4).</w:t>
      </w:r>
    </w:p>
    <w:p>
      <w:r>
        <w:rPr>
          <w:b/>
        </w:rPr>
        <w:t>E. 6.3</w:t>
      </w:r>
    </w:p>
    <w:p>
      <w:r>
        <w:t>Zusammenfassend ist nach dem Gesagten festzustellen, dass die Vorinstanz den Sachverhalt unrichtig festgestellt hat und die deutschen Behörden auf wesentliche sachdienliche Angaben nicht hingewiesen hat. Die auf unzureichenden und irreführenden Informationen der Vorinstanz basierende Zustimmung Deutschlands ist demzufolge nicht rechtswirksam erfolgt.</w:t>
      </w:r>
    </w:p>
    <w:p>
      <w:r>
        <w:rPr>
          <w:b/>
        </w:rPr>
        <w:t>E. 7.1</w:t>
      </w:r>
    </w:p>
    <w:p>
      <w:r>
        <w:t>Gemäss Art. 61 Abs. 1 VwVG entscheidet das Bundesverwaltungsgericht in der Sache selbst oder weist diese ausnahmsweise mit verbindlichen Weisungen an die Vorinstanz zurück.</w:t>
      </w:r>
    </w:p>
    <w:p>
      <w:r>
        <w:rPr>
          <w:b/>
        </w:rPr>
        <w:t>E. 7.2</w:t>
      </w:r>
    </w:p>
    <w:p>
      <w:r>
        <w:t>Eine Kassation und Rückweisung an die Vorinstanz ist insbesondere dann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w:t>
      </w:r>
    </w:p>
    <w:p>
      <w:r>
        <w:rPr>
          <w:b/>
        </w:rPr>
        <w:t>E. 7.3</w:t>
      </w:r>
    </w:p>
    <w:p>
      <w:r>
        <w:t>Vorliegend wurde der Sachverhalt wie erwähnt unrichtig festgestellt und die deutschen Behörden wurden auf wesentliche Umstände, die für die Beurteilung ihrer Zuständigkeit von Bedeutung sein könnten, nicht hingewiesen. Die erforderlichen zusätzlichen Abklärungen mit den deutschen Behörden beziehungsweise deren vollständige und korrekte Information sind durch die Vorinstanz nachzuholen. Ein Entscheid in der Sache durch das Bundesverwaltungsgericht kommt vorliegend nicht in Betracht.</w:t>
      </w:r>
    </w:p>
    <w:p>
      <w:r>
        <w:rPr>
          <w:b/>
        </w:rPr>
        <w:t>E. 8.1</w:t>
      </w:r>
    </w:p>
    <w:p>
      <w:r>
        <w:t>Die Beschwerde ist demnach gutzuheissen, die angefochtene Verfügung aufzuheben und die Sache zur vollständigen und richtigen Erhebung des rechtserheblichen Sachverhalts und zur Neubeurteilung an die Vorinstanz zurückzuweisen. Die Vorinstanz wird ein erneutes Wiederaufnahmegesuch an die deutschen Behörden zu stellen und diesen mitzuteilen haben, dass die Ehefrau des Beschwerdeführers in der Schweiz Begünstigte internationalen Schutzes ist.</w:t>
      </w:r>
    </w:p>
    <w:p>
      <w:r>
        <w:rPr>
          <w:b/>
        </w:rPr>
        <w:t>E. 8.2</w:t>
      </w:r>
    </w:p>
    <w:p>
      <w:r>
        <w:t>Somit kann offengelassen werden, ob die Vorinstanz zu Recht auf das Asylgesuch des Beschwerdeführers nicht eingetreten ist und dessen Wegweisung nach Deutschland verfügt hat.</w:t>
      </w:r>
    </w:p>
    <w:p>
      <w:r>
        <w:rPr>
          <w:b/>
        </w:rPr>
        <w:t>E. 8.3</w:t>
      </w:r>
    </w:p>
    <w:p>
      <w:r>
        <w:t>Mit der Aufhebung des angeordneten Wegweisungsvollzugs entfällt - zumindest für den Moment - die Zuständigkeit des Kantons Luzern zum Vollzug derselben (vgl. Art. 23 AsylV 1 i.V.m. Art. 34 AsylV 1). Es kann deshalb vorliegend offengelassen werden, wie das subeventualiter gestellte Begehren, der Kanton Genf sei «als zuständiger Kanton festzulegen», durch das Bundesverwaltungsgericht zu behandeln wäre.</w:t>
      </w:r>
    </w:p>
    <w:p>
      <w:r>
        <w:rPr>
          <w:b/>
        </w:rPr>
        <w:t>E. 9.1</w:t>
      </w:r>
    </w:p>
    <w:p>
      <w:r>
        <w:t>Bei diesem Ausgang des Verfahrens sind dem Beschwerdeführer keine Kosten aufzuerlegen (Art. 63 Abs. 1 VwVG). Die Gesuche um Gewährung der unentgeltlichen Prozessführung und Verzicht auf die Erhebung eines Kostenvorschusses sind folglich gegenstandslos geworden.</w:t>
      </w:r>
    </w:p>
    <w:p>
      <w:r>
        <w:rPr>
          <w:b/>
        </w:rPr>
        <w:t>E. 9.2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