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D-4765/2014 vom 21. März 2016</w:t>
      </w:r>
    </w:p>
    <w:p>
      <w:r>
        <w:t>Bundesverwaltungsgericht, 2016-03-21, DE</w:t>
      </w:r>
    </w:p>
    <w:p>
      <w:r>
        <w:rPr>
          <w:b/>
        </w:rPr>
        <w:t xml:space="preserve">Quelle: </w:t>
      </w:r>
      <w:r>
        <w:t>https://mcp.opencaselaw.ch/entscheid/bvger_D-4765_2014</w:t>
      </w:r>
    </w:p>
    <w:p>
      <w:r>
        <w:t>FR: TAF D-4765/2014 du 21 mars 2016</w:t>
      </w:r>
    </w:p>
    <w:p>
      <w:r>
        <w:t>IT: TAF D-4765/2014 del 21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zur Beschwerdeführung legitimiert (Art. 48 Abs. 1 VwVG), zumal er als Gastgeber in eigenem Namen gegen die abgelehnten Visa-Entscheide vom 24. Juni 2014 Einsprache erheben liess und er Adressat der angefochtenen Verfügung ist (vgl. BVGE 2014/1 E. 1.3). Auf die frist- und formgerecht eingereichte Beschwerde ist einzutreten (Art. 50 sowie Art. 52 VwVG).</w:t>
      </w:r>
    </w:p>
    <w:p>
      <w:r>
        <w:rPr>
          <w:b/>
        </w:rPr>
        <w:t>E. 1.4</w:t>
      </w:r>
    </w:p>
    <w:p>
      <w:r>
        <w:t>Die in Art. 106 Abs. 1 AsylG (SR 142.31)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der Vorinstanz sowie diejenigen der Schweizer Vertretung in F._______, welche als paginierte Ausdrucke der elektronischen Dokumentenverwaltung (eDossier) per 29. August 2014 vorliegen.</w:t>
      </w:r>
    </w:p>
    <w:p>
      <w:r>
        <w:rPr>
          <w:b/>
        </w:rPr>
        <w:t>E. 1.6</w:t>
      </w:r>
    </w:p>
    <w:p>
      <w:r>
        <w:t>Gestützt auf Art. 57 Abs. 1 VwVG in Verbindung mit Art. 37 VGG wird vorliegend auf einen Schriftenwechsel verzichtet, da sich die Beschwerde, wie nachfolgend aufgezeigt, als zum Vornherein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der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w:t>
      </w:r>
    </w:p>
    <w:p>
      <w:r>
        <w:rPr>
          <w:b/>
        </w:rPr>
        <w:t>E. 2.5</w:t>
      </w:r>
    </w:p>
    <w:p>
      <w:r>
        <w:t>Die Einreisevoraussetzungen sind im Visumsverfahren restriktiv zu prüfen. Gemäss Rechtsprechung muss von einer offensichtlichen Gefährdung von Leib und Leben ausgegangen werden und es liegt das Beweismass gegenüber demjenigen im Asylverfahren höher (vgl. Urteil des BVGer D-3367/2013 vom 12. Mai 2014 E. 4.4; BVGE 2011/10 E. 3.3). Dabei wird eine Einzelfallprüfung durchgeführt. Befindet sich die Person bereits in einem Drittstaat, ist in der Regel davon auszugehen, dass keine Gefährdung mehr besteht.</w:t>
      </w:r>
    </w:p>
    <w:p>
      <w:r>
        <w:rPr>
          <w:b/>
        </w:rPr>
        <w:t>E. 3</w:t>
      </w:r>
    </w:p>
    <w:p>
      <w:r>
        <w:t>Als Staatsangehörige von Syrien unterstehen die Gesuchstellenden der Visumspflicht. Auf Beschwerdeebene wurde im Wesentlichen geltend gemacht, der Beschwerdeführer habe seiner Familie eine Verschnaufpause ermöglichen wollen, damit sie wieder gestärkt in die Türkei zurückkehren könnten, um alsdann wieder nach Syrien zurückzukehren. Der Beschwerdeführer unterlässt es vollständig, sich mit dem zentralen Vorbehalt des BFM gegen die Erteilung der nachgesuchten Visa (die fristgerechte Ausreise nach Ablauf des Visums sei nicht hinreichend gesichert und es lägen auch keine besonderen, namentlich humanitären Gründe vor, die eine Einreise in die Schweiz trotzdem als zwingend notwendig erscheinen liessen) auseinanderzusetzen. Aufgrund der vorliegenden Akten ist mit der Vorin­stanz darin einig zu gehen, dass im Falle der Gesuchstellenden die Erteilung von ordentlichen Schengen-Visa ausser Betracht fallen muss, da be­gründete Zweifel daran bestehen, die Gesuchstellenden würden die Schweiz respektive den Schengen-Raum nach Ablauf der maximalen Visumsdauer verlassen (vgl. dazu BVGE 2014/1 E. 4.4). Gegen die Absicht einer freiwilligen Rückkehr in die Heimat sprechen sowohl die dortige Bürgerkriegslage als auch die in der Türkei gestellten Visaanträge, worin sinngemäss zum Ausdruck gebracht wurde, sie hätten ihre Lebensgrundlage in Syrien weitgehend verloren. Vor diesem Hintergrund besteht offenkundig keine hinreichende Garantie für eine anstandslose Ausreise innert 90 Tagen, weshalb die Erteilung der nachgesuchten Visa bereits aufgrund einer nicht hinreichend gesicherten Ausreise zu verweigern ist.</w:t>
      </w:r>
    </w:p>
    <w:p>
      <w:r>
        <w:rPr>
          <w:b/>
        </w:rPr>
        <w:t>E. 4.1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beziehungsweise des SEM ein Einreisevisum zu erteilen (vgl. Art. 2 Abs. 4 VEV [in Kraft getreten am 1. Oktober 2012]). In seiner Botschaft zur entsprechenden Gesetzesänderung nahm der Bundesrat auf die Möglichkeit der Visumerteilung aus humanitären Gründen verschiedentlich Bezug; am 28. September 2012 erliess das Eidgenössische Justiz- und Polizeidepartement (EJPD) in Absprache mit dem EDA die Weisung Nr. 322.126 "Visumsantrag aus humanitären Gründen". Diese Weisung wurde überarbeitet und durch die Weisung Nr. 322.126 vom 25. Februar 2014 (nachfolgend: Weisung humanitäres Visum) ersetzt.</w:t>
      </w:r>
    </w:p>
    <w:p>
      <w:r>
        <w:rPr>
          <w:b/>
        </w:rPr>
        <w:t>E. 4.2</w:t>
      </w:r>
    </w:p>
    <w:p>
      <w:r>
        <w:t>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Sobald sich der Inhaber eines Visums aus humanitären Gründen in der Schweiz befindet, muss er ein Asylgesuch einreichen. Falls er das unterlässt, hat er die Schweiz nach drei Monaten zu verlassen.</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In casu sind die Voraussetzungen für die Erteilung eines Visums mit beschränktem Geltungsbereich gemäss Art. 2 Abs. 4 VEV in Verbindung mit Art. 5 Abs. 4 Bst. c Schengener Grenzkodex ebenfalls nicht erfüllt. Auch eine Visumserteilung nach Massgabe der Weisung vom 4. September 2013 betreffend die "Erleichterte Erteilung von Besucher-Visa für syrische Familienangehörige" - diese Weisung wurde am 29. November 2013 aufgehoben - fällt ausser Betracht, da, wie das BFM zutreffend feststellte, die Visumsanträge erst nach der Aufhebung dieser Weisung gestellt wurden. Das Gericht stellt die schwierigen Lebensumstände von Gesuchstellenden in der Türkei nicht in Abrede. Nichtsdestotrotz ist mit der Vorinstanz grundsätzlich davon auszugehen, dass syrische Flüchtlinge in der Türkei hinreichenden Schutz vor Verfolgung finden und dort daher nicht konkret, unmittelbar und ernsthaft an Leib und Leben gefährdet sind (vgl. etwa Urteile des BVGer D-396/2015 vom 23. März 2015 E. 7.5, D-4608/2014 vom 8. Dezember 2014 E. 6.3, E-5417/2014 vom 30. Oktober 2014 E. 4.4, E-4459/2014 vom 24. August 2014 E. 7.2 und D-2593/2014 vom 22. Juli 2014 E. 6.1). Bei einem erneuten (oder allenfalls weiterbestehenden) Aufenthalt der Gesuchstellenden in der Türkei lägen vorliegend keine Anzeichen dafür vor, dass sie sich im Hinblick auf die allgemeine Lage, mit der sich die syrischen Flüchtlinge in der Türkei konfrontiert sehen, in einer besonderen Notsituation befänden, die ein behördliches Eingreifen zwingend erforderlich machen würde. Eine konkrete Gefahr einer zwangsweisen Rückführung von der Türkei nach Syrien besteht für syrische Flüchtlinge nicht. Im Bedarfsfall ist es ihnen zuzumuten, sich an die lokalen Behörden oder die vor Ort tätigen Hilfsorganisationen wenden.</w:t>
      </w:r>
    </w:p>
    <w:p>
      <w:r>
        <w:rPr>
          <w:b/>
        </w:rPr>
        <w:t>E. 5.2</w:t>
      </w:r>
    </w:p>
    <w:p>
      <w:r>
        <w:t>Somit ist in Übereinstimmung mit der Vorinstanz festzuhalten, dass auch die Voraussetzungen für die Ausstellung eines humanitären Visums im Sinne von Art. 2 Abs. 4 und Art. 12 Abs. 4 VEV nicht erfüllt sind.</w:t>
      </w:r>
    </w:p>
    <w:p>
      <w:r>
        <w:rPr>
          <w:b/>
        </w:rPr>
        <w:t>E. 6</w:t>
      </w:r>
    </w:p>
    <w:p>
      <w:r>
        <w:t>Aus diesen Erwägungen ergibt sich, dass die angefochtene Verfügung Bundesrecht nicht verletzt, den rechtserheblichen Sachverhalt richtig sowie vollständig feststellt und angemessen ist (Art. 49 VwVG). Die Beschwerde ist abzuweisen. Bei diesem Ausgang des Verfahrens sind die Kosten dem Beschwerde­führer aufzuerlegen (Art. 63 Abs. 1 VwVG) und auf insgesamt Fr. 600.- festzusetzen (Art. 1-3 des Reglements vom 21. Februar 2008 über die Kosten und Entschädigungen vor dem Bundesverwaltungsgericht [VGKE, SR 173.320.2]). Der am 16. September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