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D-4764/2025 vom 24. Juli 2025</w:t>
      </w:r>
    </w:p>
    <w:p>
      <w:r>
        <w:t>Bundesverwaltungsgericht, 2025-07-24, DE</w:t>
      </w:r>
    </w:p>
    <w:p>
      <w:r>
        <w:rPr>
          <w:b/>
        </w:rPr>
        <w:t xml:space="preserve">Quelle: </w:t>
      </w:r>
      <w:r>
        <w:t>https://mcp.opencaselaw.ch/entscheid/bvger_D-4764_2025</w:t>
      </w:r>
    </w:p>
    <w:p>
      <w:r>
        <w:t>FR: TAF D-4764/2025 du 24 juillet 2025</w:t>
      </w:r>
    </w:p>
    <w:p>
      <w:r>
        <w:t>IT: TAF D-4764/2025 del 24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in bereits in der Zwischenverfügung vom 10. Juli 2025 festgehalten wurde, ist das Bundesverwaltungsgericht für die Behandlung der vorliegen- den Beschwerde zuständig. Festgestellt wurde darin ebenfalls, dass die</w:t>
      </w:r>
    </w:p>
    <w:p>
      <w:r>
        <w:t>D-4764/2025 Seite 6 Beschwerde frist- und formgerecht eingereicht wurde und der Beschwer- deführer zur Einreichung der Beschwerde legitimiert ist (vgl. a.a.O. E. 1). Nachdem der einverlangte Kostenvorschuss innert angesetzter Frist be- 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hält in der angefochtenen Verfügung zur Begründung seines Entscheides fest, die Vorbringen des Beschwerdeführers würden den An- forderungen an die Flüchtlingseigenschaft gemäss Art. 3 AsylG nicht standhalten. Dies begründet es im Einzelnen im Wesentlichen damit, das gemäss stän- diger Praxis des Bundesverwaltungsgerichts seien mehrstündige Festnah- men beziehungsweise Festhaltungen, selbst wenn sie von gewissen Tät- lichkeiten begleitet seien, in der Regel als zu wenig intensiv zu erachten, um flüchtlingsrechtlich relevant zu sein. Entsprechend seien auch die von ihm geltend gemachten Massnahmen zum Aufbau von Druck auf seine Fa- milie sowie die mehrmaligen, zuweilen gewaltbehafteten Befragungen nicht als derart intensiv zu erachten, dass ihm ein weiterer Verbleib in der Heimat nicht hätte zugemutet werden können. Diese Feststellung werde insbesondere dadurch belegt, dass sich von seinen nahen Angehörigen – darunter sein jüngerer Bruder, welcher beim letzten und für den Beschwer- deführer fluchtauslösenden Vorfall gemeinsam mit ihm betroffen gewesen sei, sowie sein älterer Bruder, der sich gemäss seiner Darstellung über län- gere Zeit unschuldig in Untersuchungshaft befunden habe – fast alle noch immer in C._______ aufhalten würden. Der Beschwerdeführer habe sich zudem auch in verschiedenen anderen Landesteilen in der Türkei aufhalten können, ohne dass er dort je Verfol-</w:t>
      </w:r>
    </w:p>
    <w:p>
      <w:r>
        <w:t>D-4764/2025 Seite 7 gungsmassnahmen seitens der Behörden zu befürchten gehabt habe. Seine Ansicht, dass er überall in der Türkei Opfer staatlicher Unterdrü- ckung hätte werden können, basiere auf einem Erlebnis in H._______, als eine ihm unbekannte Person erklärt habe, Informationen über ihn aus sei- ner Heimatstadt erhalten zu haben. Allerdings habe er auch in seiner Zeit in H._______ keine Probleme erlebt. Somit sei nicht zu erkennen, dass er ausserhalb seines Heimatorts jemals von den Behörden beobachtet oder kontaktiert worden sei. Er habe folglich Nachteile geltend gemacht, die sich aus lokal oder regional beschränkten Verfolgungsmassnahmen ableiten würden. Da er sich gemäss seinen Angaben bereits mehrmals in anderen Regionen der Türkei aufgehalten und in vielen verschiedenen Städten – er habe K._______, F._______, D._______ und L._______ genannt – Ver- wandte habe, wäre es ihm zuzumuten gewesen, sich ausserhalb seiner Heimatregion innerhalb der Türkei niederzulassen. Die von ihm geltend ge- machten Nachteile, welche zu seiner Ausreise geführt hätten, seien folglich nicht als intensiv im Sinne des Asylrechts zu bewerten. Zudem hätte er sich diesen Verfolgungsmassnahmen durch einen Wegzug in einen anderen Teil seines Heimatlandes entziehen können. Der Beschwerdeführer mache weiter geltend, in der Türkei seien nach sei- ner Ausreise Ermittlungen wegen Propaganda für eine Terrororganisation gemäss Art. 7 Abs. 2 des Anti-Terrorgesetzes (ATG) gegen ihn eingeleitet worden. In diesem Zusammenhang sei er mit einem Haftbefehl gesucht worden. Entsprechend drohe ihm bei einer Rückkehr eine lange Gefäng- nisstrafe und Folter. Dazu sei zunächst festzuhalten, dass er sich in der Türkei bislang keiner Straftat schuldig gemacht habe und deshalb als straf- rechtlich unbescholten gelte. Es sei darauf hinzuweisen, dass die einge- reichten Dokumente aus vorliegenden türkischen Strafverfahrensakten über keine (verifizierbaren) Sicherheitsmerkmale verfügen würden, und sich daher sehr einfach fälschen liessen. Es sei auch öffentlich bekannt, dass Strafverfahrensakten in der Türkei problemlos gegen Entgelt be- schafft werden könnten. Deshalb hätten diese Dokumente lediglich einen geringen Beweiswert. Die Frage, ob es sich um echte Verfahrensdoku- mente handle, könne angesichts der nachfolgenden Erwägungen jedoch offenbleiben. Das Bundesverwaltungsgericht habe im Koordinationsurteil E-4103/2024 vom 8. November 2024 festgehalten, welche Kriterien bei Ermittlungsver- fahren wegen Propaganda für eine Terrororganisation (Art. 7 Abs. 2 ATG) und Präsidentenbeleidigung (Art. 299 tStGB; türkisches Strafgesetzbuch) erfüllt sein müssten, so dass solche Ermittlungsverfahren flüchtlingsrecht-</w:t>
      </w:r>
    </w:p>
    <w:p>
      <w:r>
        <w:t>D-4764/2025 Seite 8 liche Relevanz erlangen würden. In seinem Fall seien Anfang des Jah- res (…) Untersuchungen aufgrund seiner Posts auf Twitter eingeleitet wor- den. In diesem Rahmen sei ein Haftbefehl gegen ihn erlassen worden. Dem Wortlaut der entsprechenden Dokumente sei zu entnehmen, dass er zur Einvernahme festgenommen und danach wieder freigelassen werden sollte. Die letzten ihm verfügbaren Dokumente zu seinem Verfahren wür- den von Ende (…) 2023 stammen. In der Türkei würden Ermittlungsverfah- ren oft in teils hoher Zahl eingeleitet, aber häufig auch wieder eingestellt. Von den eröffneten Ermittlungsverfahren wegen ATG-Delikten, inklusive Propaganda für eine Terrororganisation gemäss Art. 7 Abs. 2 ATG, und dem Straftatbestand der Präsidentenbeleidigung sei die durchschnittliche Wahrscheinlichkeit einer Verurteilung im Jahr 2023 und 2024 nicht höher als 10% gelegen. Gemäss Bundesverwaltungsgericht würden diese rech- nerischen Durchschnittswerte, auch im Fall mehrerer Ermittlungsverfah- ren, kaum den Grad der beachtlichen Wahrscheinlichkeit erreichen. Zudem habe das Bundesverwaltungsgericht schon wiederholt auf Erfahrungen mit der Praxis der türkischen Strafjustiz hingewiesen, wonach bei diesen De- likten – namentlich bei Ersttätern ohne geschärftes oppositionelles Profil – die Strafrahmen in der Regel nicht ausgeschöpft würden (Freiheitsstrafe von zwei Jahren oder weniger) und allfällige Freiheitsstrafen in der Praxis der türkischen Gerichte häufig in Anwendung von Art. 51 tStGB bedingt ausgesprochen würden oder die Verkündung des Strafurteils aufgescho- ben werde (sogenannte HAGB-Urteile). Diese Schlussfolgerung gelte ent- gegen der von ihm erläuterten Einschätzung seitens seines Anwalts in der Türkei, wonach dem Beschwerdeführer eine mehrjährige Haftstrafe drohe, auch für seine Konstellation. Es sei nach Einschätzung der Vorinstanz im Rahmen der allfälligen Voll- streckung des Vorführbefehls zur Einvernahme – auch unter Berücksichti- gung der Menschenrechtslage in der Türkei – zudem nicht mit einem sys- tematischen Risiko von Misshandlungen oder Folter im Kontext des ihm zur Last gelegten Straftatbestandes auszugehen, zumal auch in seinem Einzelfall aufgrund der vorliegenden Akten kein solches Risiko ersichtlich sei. Da er strafrechtlich nicht vorbelastet sei und kein relevantes politisches Profil aufweise, bestehe für ihn nach dem Gesagten keine beachtliche Wahrscheinlichkeit, zu einer unbedingten Freiheitsstrafe verurteilt zu wer- den. Demnach erfülle er die genannten Kriterien gemäss bundesverwal- tungsrechtlicher Rechtsprechung nicht kumulativ, weswegen das von ihm geltend gemachte Strafverfahren nicht zur Anerkennung der Flüchtlingsei- genschaft führen könne.</w:t>
      </w:r>
    </w:p>
    <w:p>
      <w:r>
        <w:t>D-4764/2025 Seite 9</w:t>
      </w:r>
    </w:p>
    <w:p>
      <w:r>
        <w:rPr>
          <w:b/>
        </w:rPr>
        <w:t>E. 4.2</w:t>
      </w:r>
    </w:p>
    <w:p>
      <w:r>
        <w:t>In der Beschwerde wird im Wesentlichen geltend gemacht, das SEM sei seit fast drei Jahren in der Lage gewesen, die eingereichten Unterlagen einer amtsinternen Analyse zu unterziehen. Hätte sie diese Analyse durch- geführt, wären heute diesbezüglich keine offenen Fragen geblieben, wes- halb der Fall zur neuen Beurteilung beziehungsweise zur amtsinternen Analyse an die Vorinstanz zurückzuweisen sei. Die Schwester des Be- schwerdeführers habe den staatlichen Druck nicht mehr aushalten können und sei in die Schweiz geflüchtet. Sie habe auch in der Schweiz um Asyl ersucht. Sie habe dann in der Schweiz Asyl erhalten. Obwohl der Be- schwerdeführer dies in den beiden Anhörungen erwähnt habe, werde we- der der Name noch das Dossier der Schwester mit keinem Wort in der an- gefochtenen Verfügung erwähnt. Deswegen sei der Fall zur neuen Beur- teilung an die Vorinstanz zurückzuweisen. Im Falle einer Rückkehr in die Türkei sei mit überwiegender Wahrscheinlichkeit davon auszugehen, dass die türkischen Behörden den Beschwerdeführer angesichts seines politi- schen Hintergrunds als Mitglied der Familie M._______ und als Regime- gegner erkennen würden. Gleichzeitig müsse angenommen werden, dass die heimatlichen Behörden den Verdacht hegen würden, dass er sich in Europa im Dunstkreis der PKK bewege und sich daher aus türkischer Sicht politisch missliebig engagiere. Er habe deshalb eine begründete Furcht, wegen seiner kurdischen Identität und wegen seines offenen Strafverfah- rens ernsthafte Nachteile zu erleiden. Festzuhalten sei, dass der Beschwerdeführer im Zeitpunkt seiner Ausreise eine begründete Furcht vor drohender flüchtlingsrechtlich relevanter Ver- folgung gehabt habe. Eine solche objektiv begründete Furcht vor Verfol- gung sei unter Berücksichtigung der aktuellen Lage im Heimatstaat und der konkreten familiären Umstände im heutigen Zeitpunkt noch zu bejahen. Es bestehe keine innerstaatliche Fluchtalternative. Er sei nach H._______, E._______, G._______, D._______, F._______ gezogen, aber auch an diesen Orten – teilweise auch von den Behörden – behelligt worden. Zur- zeit werde er in der Türkei per Haftbefehl gesucht. Die Voraussetzungen gemäss dem Urteil des Bundesverwaltungsgerichts D-4103/2024 vom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Rechtsprechung nur dann, wenn hinreichend Anlass zur Annahme besteht, die behauptete Verfolgung werde sich mit beachtlicher Wahrscheinlichkeit und in absehbarer Zukunft verwirklichen - eine bloss entfernte Möglichkeit künftiger Verfolgung genügt nicht (vgl. BVGE 2011/51 E. 6.2).</w:t>
      </w:r>
    </w:p>
    <w:p>
      <w:r>
        <w:rPr>
          <w:b/>
        </w:rPr>
        <w:t>E. 6.1</w:t>
      </w:r>
    </w:p>
    <w:p>
      <w:r>
        <w:t>Die Vorinstanz hat in der angefochtenen Verfügung dargelegt, aus welchen Gründen die Frage, ob es sich bei den eingereichten türkischen Verfahrensakten um echte Dokumente handle, offenbleiben könne. Es hat entgegen der Darstellung der Beschwerde erwähnt, dass es das Dossier der Schwester (N [...]) im Rahmen der Entscheidfindung konsultiert hat (vgl. angefochtene Verfügung Ziff. I 4.). Im Übrigen ist die Behauptung in der Beschwerde, die Vorinstanz habe wesentliche Aussagen des Beschwerdeführers nicht zur Kenntnis genommen, nicht zutreffend. Schliesslich lässt sich aus dem blossen Umstand, dass der Beschwerdeführer respektive sein Rechtsvertreter mit der Sachverhaltswürdigung und den Schlussfolgerungen der Vorinstanz nicht einverstanden ist, nicht ableiten, das SEM habe seine Abklärungspflicht verletzt beziehungsweise den rechtserheblichen Sachverhalt unvollständig oder unrichtig festgestellt. Ob die Würdigung des zur Begründung des Asylgesuches geltend gemachten Sachverhalts zutreffend ist oder nicht, betrifft allein die Frage der materiellen Richtigkeit des Asylentscheids. Es besteht mithin kein Anlass, die Verfügung aus formellen Gründen aufzuheben und die Sache - wie beantragt - zur neuen Beurteilung an die Vorinstanz zurückzuweisen.</w:t>
      </w:r>
    </w:p>
    <w:p>
      <w:r>
        <w:rPr>
          <w:b/>
        </w:rPr>
        <w:t>E. 6.2</w:t>
      </w:r>
    </w:p>
    <w:p>
      <w:r>
        <w:t>In der Zwischenverfügung vom 10. Juli 2025 wurde festgehalten, die Vorinstanz sei mit überzeugender Begründung zum Ergebnis gelangt, dass die Vorbringen des Beschwerdeführers den Anforderungen an die Flüchtlingseigenschaft gemäss Art. 3 AsylG nicht standhalten. Diese Einschätzung ist auch nach einer erneuten Prüfung der Akten zu bestätigen. Zur Vermeidung von Wiederholungen kann vorweg auf die weitgehend zutreffenden Erwägungen in der angefochtenen Verfügung (vgl. Ziff. II) und die obige Zusammenfassung derselben (vgl. E. 4.1) verwiesen werden. Insbesondere ist es auch zutreffend und in Einklang mit der aktuellen Rechtsprechung des Bundesverwaltungsgerichts, dass kein Anlass zur Annahme besteht, dass Personen, gegen die in der Türkei wegen ihrer Beiträge in Social-Media-Plattformen von strafrechtlichen Ermittlungsverfahren - wie im Falle des Beschwerdeführers wegen Propaganda für eine terroristische Organisation - betroffen sind, nicht generell eine mit einem Politmalus behaftete unbedingte Haftstrafe zu befürchten haben, die sich auch tatsächlich zu verbüssen hätten. Ergänzend anzufügen ist, dass begründete Furcht vor Verfolgung nach konstanter Rechtsprechung nur vorliegt, wenn hinreichend Anlass zur Annahme besteht, die Verfolgung werde sich mit beachtlicher Wahrscheinlichkeit und in absehbarer Zukunft verwirklichen - eine bloss entfernte Möglichkeit künftiger Verfolgung genügt nicht (vgl. BVGE 2011/51 E. 6.2). Eine - wie in der Beschwerde dargelegte (vgl. S. 7, 8 und 9, je unten) - nur auf blossen Mutmassungen beruhende Furcht vor Verfolgung ist im flüchtlingsrechtlichen Sinne nicht begründet.</w:t>
      </w:r>
    </w:p>
    <w:p>
      <w:r>
        <w:rPr>
          <w:b/>
        </w:rPr>
        <w:t>E. 6.3</w:t>
      </w:r>
    </w:p>
    <w:p>
      <w:r>
        <w:t>Zusammenfassend ergibt sich, dass die Vorinstanz zu Recht die Flüchtlingseigenschaft des Beschwerdeführers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je m.w.H.).</w:t>
      </w:r>
    </w:p>
    <w:p>
      <w:r>
        <w:rPr>
          <w:b/>
        </w:rPr>
        <w:t>E. 7.2</w:t>
      </w:r>
    </w:p>
    <w:p>
      <w:r>
        <w:t>Die Vorinstanz führt in der angefochtenen Verfügung ausführlich und zutreffend aus, weshalb der Vollzug der Wegweisung vorliegend zulässig, zumutbar und möglich sei (vgl. angefochtene Verfügung, Ziff. III). Auf Beschwerdeebene wird nichts vorgebracht, was zu einer von derjenigen der Vorinstanz abweichenden Beurteilung führen könnte. Es kann vollumfänglich auf die zutreffenden Erwägungen in der angefochtenen Verfügung verwiesen werden.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1’000.– festzusetzen (Art. 1–3 des Reglements vom 21. Februar 2008 über die Kosten und Entschädigungen vor dem Bundesverwaltungsgericht [VGKE, SR 173.320.2]). Der am 21. Juli 2025 in gleicher Höhe geleistete Kostenvorschuss ist zur Bezahlung der Verfahrenskosten zu verwenden. (Dispositiv nächste Seite)</w:t>
      </w:r>
    </w:p>
    <w:p>
      <w:r>
        <w:t>D-4764/2025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