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D-4764/2015 vom 2. September 2015</w:t>
      </w:r>
    </w:p>
    <w:p>
      <w:r>
        <w:t>Bundesverwaltungsgericht, 2015-09-02, DE</w:t>
      </w:r>
    </w:p>
    <w:p>
      <w:r>
        <w:rPr>
          <w:b/>
        </w:rPr>
        <w:t xml:space="preserve">Quelle: </w:t>
      </w:r>
      <w:r>
        <w:t>https://mcp.opencaselaw.ch/entscheid/bvger_D-4764_2015</w:t>
      </w:r>
    </w:p>
    <w:p>
      <w:r>
        <w:t>FR: TAF D-4764/2015 du 2 septembre 2015</w:t>
      </w:r>
    </w:p>
    <w:p>
      <w:r>
        <w:t>IT: TAF D-4764/2015 del 2 settembre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wurde in englischer Sprache und somit nicht in einer Amtssprache des Bundes abgefasst. Auf die Ansetzung einer Frist zu Beschwerdeverbesserung kann indessen aus prozessökonomischen Gründen praxisgemäss verzichtet werden, zumal der Eingabe der Beschwerdeführerin genügend klare, sinngemässe Rechtsbegehren sowie deren Begründung zu entnehmen sind und darüber ohne Weiteres befunden werden kann.</w:t>
      </w:r>
    </w:p>
    <w:p>
      <w:r>
        <w:rPr>
          <w:b/>
        </w:rPr>
        <w:t>E. 1.3</w:t>
      </w:r>
    </w:p>
    <w:p>
      <w:r>
        <w:t>Das genaue Datum der Eröffnung der vorinstanzlichen Verfügung vom 11. Juni 2015, welche der Beschwerdeführerin mit Schreiben der Vertretung vom 25. Juni 2015 zugestellt wurde, ist nicht bekannt. Die Rechtsmitteleingabe der Beschwerdeführerin per Fax datiert vom 24. Juli 2015 (aufgedruckte Übermittlungszeit). Die schriftliche Eingabe vom 22. Juli 2015 (Eingangsstempel der Vertretung vom 28. Juli 2015) ist mit ihrer Originalunterschrift versehen. Folglich ist die Beschwerde als rechtzeitig und vollständig eingereicht zu erachten (vgl. Entscheidungen und Mitteilungen der Schweizerischen Asylrekurskommission [EMARK] 1994 Nr. 2, bestätigt in EMARK 1997 Nr. 20).</w:t>
      </w:r>
    </w:p>
    <w:p>
      <w:r>
        <w:rPr>
          <w:b/>
        </w:rPr>
        <w:t>E. 1.4</w:t>
      </w:r>
    </w:p>
    <w:p>
      <w:r>
        <w:t>Gemäss den vorstehenden Ausführungen ist die Beschwerde frist- und formgerecht eingereicht. Die Beschwerdeführerin (Mutter)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2015/2 E. 5.3).</w:t>
      </w:r>
    </w:p>
    <w:p>
      <w:r>
        <w:rPr>
          <w:b/>
        </w:rPr>
        <w:t>E. 3</w:t>
      </w:r>
    </w:p>
    <w:p>
      <w:r>
        <w:t>Über offensichtlich unbegründete Beschwerden wird in einzelrichterlicher Zuständigkeit mit Zustimmung eines zweiten Richters entschieden (Art. 111 Bst. e AsylG). Wie nachstehend aufgezeigt wird, handelt es sich hier um eine solche, weshalb der Beschwerdeentscheid nur summarisch zu begründen ist (Art. 111a Abs. 2 AsylG). Gestützt auf Art. 111a Abs. 1 AsylG wurde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in casu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die Vorinstanz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der Beschwerdeführerin geltend gemachten Schwierigkeiten und Behelligungen keine einreiserelevante Bedeutung zukommt. Es kann deshalb vorab auf die vorinstanzlichen Erwägungen verwiesen werden (vgl. vorstehend unter D.). An dieser Einschätzung können auch die weiteren Ausführungen der Beschwerdeführerin in ihrer Rechtsmitteleingabe nichts ändern, zumal sie im Wesentlichen nur ihre bisherigen Ausführungen wiederholt. Das Bundesverwaltungsgericht schliesst sich somit den Ausführungen der Vorinstanz vollumfänglich an, zumal sich aus der Beschwerde nichts ergibt, was die Erwägungen der Vorinstanz entkräften könnte.</w:t>
      </w:r>
    </w:p>
    <w:p>
      <w:r>
        <w:rPr>
          <w:b/>
        </w:rPr>
        <w:t>E. 6.4</w:t>
      </w:r>
    </w:p>
    <w:p>
      <w:r>
        <w:t>Somit ist es der Beschwerdeführerin nicht gelungen, eine aktuelle Gefähr­dung im Sinne von Art. 3 AsylG aufzuzeigen, welche die Bewilligung der Einreise in die Schweiz rechtfertigen würde. Die Schutzbedürftigkeit der Beschwerdeführerin und ihrer Tochter im Sinne von aArt. 20 i.V.m. Art. 3 AsylG ist nicht gegeben. Im Übrigen ist auch eine Beziehungsnähe der Beschwerdefüh­rerin zur Schweiz zu verneinen (aArt. 52 Abs. 2 AsylG). Die Vorinstanz hat der Beschwerdeführerin und ihrer Tochter zu Recht die Einreise in die Schweiz verweigert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