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D-4761/2008 vom 21. Juli 2008</w:t>
      </w:r>
    </w:p>
    <w:p>
      <w:r>
        <w:t>Bundesverwaltungsgericht, 2008-07-21, FR</w:t>
      </w:r>
    </w:p>
    <w:p>
      <w:r>
        <w:rPr>
          <w:b/>
        </w:rPr>
        <w:t xml:space="preserve">Quelle: </w:t>
      </w:r>
      <w:r>
        <w:t>https://mcp.opencaselaw.ch/entscheid/bvger_D-4761_2008</w:t>
      </w:r>
    </w:p>
    <w:p>
      <w:r>
        <w:t>FR: TAF D-4761/2008 du 21 juillet 2008</w:t>
      </w:r>
    </w:p>
    <w:p>
      <w:r>
        <w:t>IT: TAF D-4761/2008 del 21 luglio 2008</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let. c PA, applicable par renvoi de l'art. 37 LTAF). Présenté dans la forme (cf. art. 52 PA) et le délai (cf. art. 108 al. 1 et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une jurisprudence développée par l'ancienne Commission suisse de recours en matière d'asile (cf. Jurisprudence et informations de la Commission suisse de recours en matière d'asile [JICRA] 2006 n° 18 consid. 10) et reprise par le présent Tribunal, une persécution au sens de l'art. 3 LAsi peut être le fait non seulement d'agents étatiques, mais également de privés. Pareil préjudice 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w:t>
      </w:r>
    </w:p>
    <w:p>
      <w:r>
        <w:rPr>
          <w:b/>
        </w:rPr>
        <w:t>E. 3.1</w:t>
      </w:r>
    </w:p>
    <w:p>
      <w:r>
        <w:t>En l'occurrence, indépendamment de la vraisemblance des motifs d'asile allégués, le Tribunal estime que ceux-ci ne sont pas pertinents pour la reconnaissance de la qualité de réfugié et l'octroi de l'asile. En effet, le recourant a affirmé craindre d'être victime de sérieux préjudices émanant de tiers, en raison des activités politiques de son père et des soupçons de détournement de fonds pesant sur lui, au même titre que sur d'autres dirigeants locaux du PDP. Or, contrairement à ce qu'a soutenu l'intéressé dans son recours, les autorités nigérianes ne renoncent pas à poursuivre les auteurs d'actes pénalement répréhensibles et offrent donc, en principe, une protection appropriée pour empêcher la perpétration de tels agissements. Aucun élément au dossier ne permet d'admettre qu'en l'espèce, le recourant n'aurait pas pu bénéficier de cette protection étatique, ce d'autant que le PDP est le parti au pouvoir au Nigéria et que les autorités prennent au sérieux les troubles éclatant dans la région du Delta, dont le sous-sol comporte de riches gisements pétrolifères. N'ayant pas même tenté de dénoncer ces préjudices aux dites autorités, l'intéressé ne saurait invoquer utilement l'inefficacité voire la passivité de celles-ci. En tout état de cause, si il estimait ne pas pouvoir bénéficier d'une protection effective en s'adressant à la police locale, il disposait de la possibilité, avant d'envisager de quitter son pays d'origine, de s'installer dans une autre région du Nigéria, où il ne risquait pas d'être menacé par les militants. En effet, les préjudices invoqués apparaissent clairement limités à la ville de A._______, dans laquelle le recourant habitait avec son père, voire à la région du Delta.</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(cf. supra consid. 3.1), il ne ressort pas du dossier que le recourant serait exposé à de sérieux préjudices au sens de l'art. 3 LAsi, en cas de retour dans son pays d'origine. L'exécution du renvoi ne transgresse pas non plus les engagements de la Suisse relevant du droit international, en particulier les art. 3 CEDH et 3 Conv. torture. En effet, en l'absence de tout autre élément concret ressortant du dossier, l'intéressé n'a pas établi, à satisfaction de droit, l'existence pour lui d'un risque sérieux de subir, en cas de retour dans son pays d'origine, des traitements prohibés par le droit international contraignant.</w:t>
      </w:r>
    </w:p>
    <w:p>
      <w:r>
        <w:rPr>
          <w:b/>
        </w:rPr>
        <w:t>E. 6.3</w:t>
      </w:r>
    </w:p>
    <w:p>
      <w:r>
        <w:t>Dès lors, l'exécution du renvoi du recourant sous forme de refoulement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7.2</w:t>
      </w:r>
    </w:p>
    <w:p>
      <w:r>
        <w:t>Le Nigéria ne connaît pas une situation de guerre, de guerre civile ou de violences généralisées qui permettrait d'emblée - et indépendamment des circonstances du cas d'espèce - de présumer, à propos de tous les ressortissants de cet Etat,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est en effet jeune, sans charge de famille et sans problème de santé particulier allégué. Bien que cela ne soit pas décisif, il dispose en outre d'un réseau social et familial dans son pays d'origine.</w:t>
      </w:r>
    </w:p>
    <w:p>
      <w:r>
        <w:rPr>
          <w:b/>
        </w:rPr>
        <w:t>E. 7.4</w:t>
      </w:r>
    </w:p>
    <w:p>
      <w:r>
        <w:t>Pour ces motifs, l'exécution du renvoi doit être considérée comme raisonnablement exigible.</w:t>
      </w:r>
    </w:p>
    <w:p>
      <w:r>
        <w:rPr>
          <w:b/>
        </w:rPr>
        <w:t>E. 8</w:t>
      </w:r>
    </w:p>
    <w:p>
      <w:r>
        <w:t>Enfin, le recourant est au bénéfice d'un passeport authentique et valable jusqu'en 2013, de sorte que l'exécution du renvoi ne se heurte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