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D-475/2014 vom 12. Februar 2014</w:t>
      </w:r>
    </w:p>
    <w:p>
      <w:r>
        <w:t>Bundesverwaltungsgericht, 2014-02-12, DE</w:t>
      </w:r>
    </w:p>
    <w:p>
      <w:r>
        <w:rPr>
          <w:b/>
        </w:rPr>
        <w:t xml:space="preserve">Quelle: </w:t>
      </w:r>
      <w:r>
        <w:t>https://mcp.opencaselaw.ch/entscheid/bvger_D-475_2014</w:t>
      </w:r>
    </w:p>
    <w:p>
      <w:r>
        <w:t>FR: TAF D-475/2014 du 12 février 2014</w:t>
      </w:r>
    </w:p>
    <w:p>
      <w:r>
        <w:t>IT: TAF D-475/2014 del 12 febbraio 2014</w:t>
      </w:r>
    </w:p>
    <w:p>
      <w:pPr>
        <w:pStyle w:val="Heading2"/>
      </w:pPr>
      <w:r>
        <w:t>Regeste</w:t>
      </w:r>
    </w:p>
    <w:p>
      <w:r>
        <w:t>Asyl und Wegweisung (verkürzte Beschwerdefrist)</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(nach erfolgter Verbesserung)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ethnischer Albaner sei und aus B._______ (Kosovo) stamme, wo er aufgewachsen und zur Schule gegangen sei. Nachdem er sich von 1999 bis 2000 als Asylsuchender in Norwegen aufgehalten habe, sei er nach B._______ zurückgekehrt. Er habe jedoch keine Arbeitsstelle gefunden, so dass sein Vater sowie Freunde und Bekannte für seinen Unterhalt gesorgt hätten. Die letzten sieben bis acht Monate vor seiner Ausreise habe er eine Freundin gehabt. Nachdem er diese verlassen habe, da er seine homosexuelle Neigung entdeckt habe und seither in einer gleichgeschlechtlichen Partnerschaft lebe, hätten die Brüder der Ex-Freundin ihn bedroht, da sie einerseits gewollt hätten, dass er die Freundin heirate und sich andererseits durch seine Homosexualität in ihrer Ehre angegriffen gesehen hätten. Er sei zu seinem neuen Freund nach X._______ gezogen, wovon die Familie seiner Ex-Freundin erfahren habe, da sie ihn observiert habe. Daraufhin habe sie seinem Vater (des Beschwerdeführers) von seiner sexuellen Neigung berichtet, woraufhin sein Vater ihn zum Verlassen des Hauses aufgefordert habe. Auch weitere Verwandte und Bekannte hätten von seiner Homosexualität erfahren und er sei von der Gesellschaft als Homosexueller abgestempelt worden. Er sei von den Brüdern der Ex-Freundin mehrmals bedroht worden und sie hätten ihn verprügeln wollen. Ihm sei sogar mit dem Tode gedroht worden, würde er den Kosovo nicht verlassen. Er habe sich an die Polizei gewendet, welche ihm jedoch nicht geholfen habe und ihm eröffnet habe, er solle erst wiederkommen, wenn er die Brüder bewaffnet sehe. Im November 2011 habe er dann den Kosovo verlassen.</w:t>
      </w:r>
    </w:p>
    <w:p>
      <w:r>
        <w:rPr>
          <w:b/>
        </w:rPr>
        <w:t>E. 4.2</w:t>
      </w:r>
    </w:p>
    <w:p>
      <w:r>
        <w:t>Das BFM begründete seine Verfügung damit, dass die Ausführungen des Beschwerdeführers nicht glaubhaft seien. In der BzP habe er behauptet, zweimal geschlagen worden zu sein und deshalb einen Arzt aufgesucht zu haben. Drei Tage vor der Ausreise sei er sogar mit dem Tode bedroht worden. In der Anhörung habe er dem widersprechend erklärt, man habe zwar mehrmals versucht, ihn tätlich anzugreifen, es sei aber nie zu einem physischen Angriff gekommen, und die letzte Bedrohung habe sich zwei Wochen vor der Ausreise ereignet. Auch in der Anhörung selbst seien widersprüchliche Angaben gemacht worden, indem in der ersten Anhörung ausgesagt worden sei, er sei nicht der erste Partner seiner Ex-Freundin gewesen und sie habe bereits vorangehende sexuelle Kontakte gehabt, während die Ex-Freundin gemäss Aussage in der zweiten Anhörung vor ihrer Beziehung noch Jungfrau gewesen sei und er ihr erster Mann gewesen sei, was von der Familie der Ex-Freundin nunmehr als Schande betrachtet werde. Es seien keine Gründe ersichtlich, wieso die Homosexualität in der BzP unerwähnt geblieben sei. Aufgrund des Aufenthalts im modernen Norwegen, der verwandtschaftlichen Beziehungen in der Schweiz sowie des Umstandes, dass seine Verwandten und Bekannten sowie die Polizei bereits darüber Bescheid wüssten, sei diese "Geheimhaltung" in der BzP nicht nachvollziehbar. Ferner habe er gemäss BzP vor seiner Ausreise im Kosovo bei seinen Eltern und dem Bruder in B._______ gelebt und dabei nicht erwähnt, dass er die letzten drei Monate in X._______ gelebt habe. Dies hätte jedoch erwähnt werden können, ohne dabei die Homosexualität preiszugeben. Im Übrigen gehe diese Aussage ohnehin zeitlich nicht auf, da er gemäss eigenen Aussagen die letzten sieben bis acht Monate vor der Ausreise in der Beziehung zu seiner Ex-Freundin gelebt habe und gleichzeitig geltend gemacht worden sei, nach der Trennung von seiner Freundin drei Monate beim neuen Freund gelebt zu haben. Es sei augenfällig, wie ausweichend, unsicher und uneinheitlich die Antworten zur Selbstentdeckung der homophilen Neigung ausgefallen seien. Es könne daher davon ausgegangen werden, dass es sich bei der Homosexualität um einen nachgeschobenen Fluchtgrund handle. Die Aussagen widersprächen schliesslich der Logik des Handelns, indem in der Anhörung ausgesagt worden sei, mit seiner Ex-Freundin ursprünglich eine ernsthafte Beziehung mit Zukunftsplänen eingegangen zu sein und ihr versprochen zu haben, sie zu heiraten. Gleichzeitig habe er jedoch ausgeführt, sich bereits 1½ Jahre bevor er zu seinem Freund gezogen sei in diesen verliebt zu haben respektive seine homophile Neigung entdeckt zu haben, was sich offensichtlich nicht mit der vorangehenden Aussage vertrage. Zudem könne davon ausgegangen werden, dass er es tunlichst vermieden hätte, sich mit seinem Freund in X._______ beim Küssen oder gar "Liebe machen" von jemandem beobachten zu lassen. Somit entsprächen die Aussagen den Anforderungen an die Glaubhaftmachung nicht, wodurch ihre Asylrelevanz nicht zu prüfen sei.</w:t>
      </w:r>
    </w:p>
    <w:p>
      <w:r>
        <w:rPr>
          <w:b/>
        </w:rPr>
        <w:t>E. 4.3</w:t>
      </w:r>
    </w:p>
    <w:p>
      <w:r>
        <w:t>Die Begründung in der Beschwerde beschränkte sich im Wesentlichen auf eine Wiederholung der bereits vorgetragenen Fluchtgeschichte, indem betont wurde, die Brüder der Ex-Freundin würden den Beschwerdeführer mit dem Tode bedrohen, er sei aufgrund seiner Homosexualität von der eigenen Familie verstossen worden und habe sich überdies in der Schweiz in den letzten zwei Jahren bestens integriert. 5.1 Das Gericht teilt die Auffassung der Vorinstanz, dass es dem Beschwerdeführer nicht gelungen ist, seine Fluchtgründe glaubhaft darzulegen. Dabei kann auf die vorinstanzliche Begründung verwiesen werden. Als weitere Unstimmigkeit kann noch erwähnt werden, dass der Beschwerdeführer angab, er sei während der drei Monate, die er mit seinem Freund in X._______ zusammengewohnt habe, observiert worden, wobei seine Peiniger seine Homosexualität entdeckt hätten und seine Familie darüber informiert hätten. Danach sei er von seinem Vater aus dem Elternhaus rausgeworfen worden. Vor dem Hintergrund, dass er damals bereits bei seinem Freund gelebt habe, ergibt dieser Rauswurf keinen Sinn. Ebenfalls nicht nachvollziehbar ist, wieso lediglich der Beschwerdeführer von der Gesellschaft als Homosexueller abgestempelt worden sei und Probleme gehabt habe, sein Partner hingegen nicht, da niemand von dessen Neigungen gewusst habe (act. A24 F 32 S. 6 und F59 S. 9), was vor dem Hintergrund, dass er und sein Partner sich öffentlich geküsst hätten, schwer nachvollziehbar ist. 5.2 Das BFM hat daher zu Recht die Flüchtlingseigenschaft des Beschwerdeführers verneint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7.4</w:t>
      </w:r>
    </w:p>
    <w:p>
      <w:r>
        <w:t>Sodann ergeben sich weder aus den Aussagen des Beschwerde­führers noch aus den Akten Anhaltspunkte dafür, dass er für den Fall einer Ausschaffung in den Heimatstaat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Der Vollzug der Wegweisung ist somit für zulässig zu erachten.</w:t>
      </w:r>
    </w:p>
    <w:p>
      <w:r>
        <w:rPr>
          <w:b/>
        </w:rPr>
        <w:t>E. 7.5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7.6</w:t>
      </w:r>
    </w:p>
    <w:p>
      <w:r>
        <w:t>Das BFM begründete die Zumutbarkeit des Wegweisungsvollzugs zutreffend damit, der Beschwerdeführer sei gesund und verfüge über eine gute Ausbildung und es seien keine Anhaltspunkte ersichtlich, die gegen die Zumutbarkeit des Wegweisungsvollzugs sprächen. Diesen Ausführungen wurde in der Beschwerdeschrift nichts Substanzielles entgegnet, wodurch sie zu bestätigen sind. Nach dem Gesagten erweist sich der Vollzug der Wegweisung auch als zumutbar.</w:t>
      </w:r>
    </w:p>
    <w:p>
      <w:r>
        <w:rPr>
          <w:b/>
        </w:rPr>
        <w:t>E. 7.7</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7.8</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Mit Erlass des vorliegenden Entscheids wird der Antrag auf Unterlassung der Datenweitergabe an den Heimatstaat gegenstandslos.</w:t>
      </w:r>
    </w:p>
    <w:p>
      <w:r>
        <w:rPr>
          <w:b/>
        </w:rPr>
        <w:t>E. 10.1</w:t>
      </w:r>
    </w:p>
    <w:p>
      <w:r>
        <w:t>Das mit der Beschwerde gestellte Gesuch um Gewährung der unentgeltlichen Rechtspflege im Sinne von Art. 65 Abs. 1 VwVG ist abzuweisen, da die Beschwerde - wie sich aus den vorstehenden Erwägungen ergibt - als aussichtlos zu bezeichnen war, weshalb die Voraussetzungen für die Gewährung der unentgeltlichen Rechtspflege nicht erfüllt sind.</w:t>
      </w:r>
    </w:p>
    <w:p>
      <w:r>
        <w:rPr>
          <w:b/>
        </w:rPr>
        <w:t>E. 10.2</w:t>
      </w:r>
    </w:p>
    <w:p>
      <w:r>
        <w:t>Hinsichtlich des Antrags auf unentgeltliche Rechtsverbeiständung ist zu erwähnen, dass auf das vorliegende Verfahren gemäss Abs. 4 der Übergangsbestimmungen zur Änderung vom 14. Dezember 2012 zum AsylG (AS 2013 4388) noch das alte Recht Anwendung findet und das Gesuch somit nach Art. 65 Abs. 2 VwVG zu beurteilen ist. In Anwendung dieser Bestimmung ist auch dieses Gesuch aufgrund der Aussichtslosigkeit der Beschwerde abzuweisen.</w:t>
      </w:r>
    </w:p>
    <w:p>
      <w:r>
        <w:rPr>
          <w:b/>
        </w:rPr>
        <w:t>E. 10.3</w:t>
      </w:r>
    </w:p>
    <w:p>
      <w:r>
        <w:t>Somit sind die Kosten des Verfahrens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