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D-4759/2019 vom 7. Oktober 2019</w:t>
      </w:r>
    </w:p>
    <w:p>
      <w:r>
        <w:t>Bundesverwaltungsgericht, 2019-10-07, DE</w:t>
      </w:r>
    </w:p>
    <w:p>
      <w:r>
        <w:rPr>
          <w:b/>
        </w:rPr>
        <w:t xml:space="preserve">Quelle: </w:t>
      </w:r>
      <w:r>
        <w:t>https://mcp.opencaselaw.ch/entscheid/bvger_D-4759_2019</w:t>
      </w:r>
    </w:p>
    <w:p>
      <w:r>
        <w:t>FR: TAF D-4759/2019 du 7 octobre 2019</w:t>
      </w:r>
    </w:p>
    <w:p>
      <w:r>
        <w:t>IT: TAF D-4759/2019 del 7 ottobre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Der Beschwerde kommt von Gesetzes wegen aufschiebende Wirkung zu (Art. 42 AsylG).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(Art. 21 Abs. 1 VGG). Das Gericht kann - wie vorliegend - auch in solchen Fällen auf die Durchführung eines Schriftenwechsels verzichten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bezweckt, Schutz vor künftiger Verfolgung zu gewähren (vgl. BVGE 2008/4 E. 5.4).</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4.1</w:t>
      </w:r>
    </w:p>
    <w:p>
      <w:r>
        <w:t>Der Beschwerdeführer machte geltend, er habe sich vom Islam distanziert und dem Christentum zugewendet. Das SEM erachtete dies als nicht glaubhaft.</w:t>
      </w:r>
    </w:p>
    <w:p>
      <w:r>
        <w:rPr>
          <w:b/>
        </w:rPr>
        <w:t>E. 4.1.1</w:t>
      </w:r>
    </w:p>
    <w:p>
      <w:r>
        <w:t>Die Prüfung einer Konversion ist aufgrund des ausgeprägten inneren Charakters diesbezüglicher Vorbringen besonders schwierig. Das Bundesverwaltungsgericht hat in diesem Zusammenhang in dem als Referenzurteil publizierten Urteil D-4952/2014 vom 23. August 2017 festgestellt, dass die Beurteilung der Glaubhaftigkeit bei einer geltend gemachten Konversion zu einer neuen Religion (oder einer Apostasie) das zentrale Element einer Gesuchsprüfung darstellt. Die religiöse Zugehörigkeit kann - im Vergleich zu anderen Asylvorbringen - praktisch nur anhand der eigenen Aussagen einer asylsuchenden Person beurteilt werden. Die asylsuchende Person muss mit ihren Aussagen glaubhaft machen können, dass sie sich aufgrund ihrer innerer Überzeugung von ihrer früheren Religion ab und - gegebenenfalls - einer neuen Religion zugewandt hat. Eine lediglich formelle Konversion, beispielsweise durch eine Taufe, ohne Hinweise auf eine innere Überzeugung reicht für die Glaubhaftmachung in der Regel nicht aus (vgl. D-4952/2014 E. 6.2).</w:t>
      </w:r>
    </w:p>
    <w:p>
      <w:r>
        <w:rPr>
          <w:b/>
        </w:rPr>
        <w:t>E. 4.1.2</w:t>
      </w:r>
    </w:p>
    <w:p>
      <w:r>
        <w:t>Anders als das SEM kommt das Bundesverwaltungsgericht - auch wenn gewisse Zweifel vorhanden sind - vorliegend unter Beachtung der zuvor genannten Anforderungen in einer Gesamtschau der Vorbringen zum Schluss, dass die Abkehr des Beschwerdeführers vom Islam und dessen Zuwendung zum Christentum als glaubhaft gemacht erscheinen. Einzelne Angaben könnten zwar auch auswendig gelernt sein, doch schilderte der Beschwerdeführer ausführlich und widerspruchsfrei, wie er sich über einen Zeitraum von mehreren Jahren hinweg mit philosophischen und religiösen Fragen auseinandergesetzt, dabei die islamischen Regeln immer mehr in Frage gestellt und sich zunehmend vom Islam distanziert habe, wie er dem Christentum begegnet sei, sich damit befasst und was ihn daran angesprochen habe und wie er sich diesem schliesslich zugewendet habe. Das SEM vermag mit seinem Einwand, die Angaben des Beschwerdeführers zu inhaltlichen Unterschieden zwischen Protestanten und Katholiken seien zu wenig detailliert, um einen Glaubenswechsel glaubhaft zu machen, nicht durchzudringen. Der Beschwerdeführer führte für einen Laien hinreichend konkret aus, weshalb er sich vom Protestantismus angesprochen gefühlt habe. Die Schilderungen des Beschwerdeführers sprechen überwiegend dafür, dass er sich eingehend mit der Thematik des Religionswechsels befasst hat und sich tatsächlich dem christlichen Glauben verbunden fühlt.</w:t>
      </w:r>
    </w:p>
    <w:p>
      <w:r>
        <w:rPr>
          <w:b/>
        </w:rPr>
        <w:t>E. 4.2</w:t>
      </w:r>
    </w:p>
    <w:p>
      <w:r>
        <w:t>Aufgrund der Aktenlage ist jedoch nicht davon auszugehen, dass der Beschwerdeführer wegen der Zuwendung zum christlichen Glauben einer flüchtlingsrechtlich relevanten Bedrohung seitens der iranischen Behörden ausgesetzt wäre.</w:t>
      </w:r>
    </w:p>
    <w:p>
      <w:r>
        <w:rPr>
          <w:b/>
        </w:rPr>
        <w:t>E. 4.2.1</w:t>
      </w:r>
    </w:p>
    <w:p>
      <w:r>
        <w:t>Der Übertritt zu einer anderen Glaubensrichtung allein führt im Iran zu keiner (individuellen) staatlichen Verfolgung (vgl. BVGE 2009/28 E. 7.3). Die diskrete und private Glaubensausübung ist im Iran grundsätzlich möglich (vgl. Urteil des BVGer D-4399/2017 vom 15. März 2018 E. 6.3). Mit einer asylrelevanten Verfolgung durch den iranischen Staat aufgrund einer Konversion ist nur dann zu rechnen, wenn sich die Person durch eine missionierende Tätigkeit exponiert und Aktivitäten des Konvertiten vorliegen, die vom Regime als Angriff auf den Staat angesehen werden (vgl. Urteil des BVGer D-4795/2016 vom 15. März 2019 E. 6).</w:t>
      </w:r>
    </w:p>
    <w:p>
      <w:r>
        <w:rPr>
          <w:b/>
        </w:rPr>
        <w:t>E. 4.2.2</w:t>
      </w:r>
    </w:p>
    <w:p>
      <w:r>
        <w:t>Dies kann im Falle des Beschwerdeführers aufgrund der Aktenlage nicht bejaht werden. Er erzählte eigenen Angaben zufolge nur seiner Ehefrau von seinem Glaubenswechsel. Für diese sei dies, wie auch für seine Schwiegermutter, die von ihrer Tochter davon erfahren habe, aber kein Problem gewesen. Auch von einer missionierenden Tätigkeit des Beschwerdeführers kann nicht die Rede sein. Dass die iranischen Behörden von seinem Interesse für das Christentum überhaupt erfahren hätten, vermochte er nicht schlüssig darzulegen. Es ist zwar nicht auszuschliessen, dass er aus weitergehendem Interesse wenige Male eine Hauskirche besucht hat. Auch darüber berichtete er grundsätzlich hinreichend detailliert. Das Vorbringen, er sei durch die heimatlichen Behörden als Sitzungsteilnehmer identifiziert worden, nachdem der Leiter der Hauskirche verhaftet worden sei und dieser die Namen und Telefonnummern der Sitzungsteilnehmer kenne, beruht lediglich auf Hörensagen und Vermutungen. Die diesbezüglichen Angaben des Beschwerdeführers blieben äusserst vage, spekulativ und nicht widerspruchsfrei, schwankten seine Aussagen zur Teilnehmeridentifizierung doch zwischen Mutmassungen und (angeblicher) Gewissheit seitens H._______ hin und her (vgl. vorinstanzliche Akten A17 S. 14 ff. F103-116). Wie H._______ so kurz nach der Festnahme von I._______ erfahren haben sollte, dass die Sitzungsteilnehmer von den Behörden identifiziert worden seien und gesucht würden, ist nicht ersichtlich. Ein Beleg hierzu liegt nicht vor. Aber selbst wenn der Leiter der Hauskirche festgenommen worden sein sollte, ist aufgrund der Aktenlage nicht davon auszugehen, dass der Beschwerdeführer in den Fokus der heimatlichen Behörden geraten wäre und diese ein Interesse haben sollten, den Beschwerdeführer in flüchtlingsrechtlich relevanter Weise zu verfolgen. Würde tatsächlich nach ihm gesucht, wäre anzunehmen, dass die nach wie vor in E._______ lebende Ehefrau von den Behörden kontaktiert und nach dem Verbleib des Beschwerdeführers gefragt worden wäre. Solches machte der Beschwerdeführer indessen nicht geltend. Vielmehr gab er zu Protokoll, seine Frau gehe wie bis anhin ihrer Tätigkeit als (...) nach und sein Sohn besuche weiterhin die Schule. Der Umzug innerhalb der Stadt zur Schwiegermutter sei aus finanziellen Gründen erfolgt (vgl. A17 S. 16 f. F123-126).</w:t>
      </w:r>
    </w:p>
    <w:p>
      <w:r>
        <w:rPr>
          <w:b/>
        </w:rPr>
        <w:t>E. 4.3</w:t>
      </w:r>
    </w:p>
    <w:p>
      <w:r>
        <w:t>Auch bezüglich des Vorbringens des Beschwerdeführers in der Rechtsmitteleingabe vom 17. September 2019, seit anfangs September in der Schweiz an Gottesdiensten teilzunehmen und bis anhin zwei solche besucht zu haben, ist nicht von einem Verfolgungsinteresse des iranischen Staats auszugehen.</w:t>
      </w:r>
    </w:p>
    <w:p>
      <w:r>
        <w:rPr>
          <w:b/>
        </w:rPr>
        <w:t>E. 4.3.1</w:t>
      </w:r>
    </w:p>
    <w:p>
      <w:r>
        <w:t>Unter Verweis auf die unter E. 4.2.1 angeführte Rechtsprechung ist festzuhalten, dass bei Glaubensausübungen im Ausland nebst der Prüfung der Glaubhaftigkeit der Konversion das Ausmass der öffentlichen Bekanntheit für die betroffene Person in Betracht gezogen werden muss. Eine christliche Glaubensausübung vermag gegebenenfalls dann flüchtlingsrechtlich relevante Massnahmen auszulösen, wenn sie in der Schweiz aktiv und sichtbar nach aussen praktiziert wird, davon ausgegangen werden muss, dass das heimatliche Umfeld davon erfährt und zugleich Aktivitäten des Konvertiten vorliegen, die vom Regime als Angriff auf den Staat angesehen werden (vgl. BVGE 2009/28 E. 7.3.4 f.; Urteile des BVGer D-2496/2018 vom 22. Mai 2018 E. 5.5, D-7222/2013 vom 31. Oktober 2014 E. 6.5). Regelmässige Kirchenbesuche und Treffen als einfache Mitglieder der christlichen Gemeinschaft stellen keine aktive und von den iranischen Behörden als potentiell staatsgefährdende Glaubensausübung dar (vgl. beispielsweise Urteile des BVGer D-2945/2019 vom 25. Juni 2019 E. 4.3.2, E-6175/2017 vom 28. Mai 2019 E. 6.2.3, D-490/2017 vom 7. Mai 2019 E. 5.7.2, E-3795/2018 vom 14. Februar 2019 E. 5.3.3).</w:t>
      </w:r>
    </w:p>
    <w:p>
      <w:r>
        <w:rPr>
          <w:b/>
        </w:rPr>
        <w:t>E. 4.3.2</w:t>
      </w:r>
    </w:p>
    <w:p>
      <w:r>
        <w:t>Beim Beschwerdeführer handelt es sich höchstens um ein einfaches Mitglied der christlichen Gemeinschaft, das seinen Glauben nicht in einer exponierten oder missionierenden Weise ausübt. Mit zwei Gottesdienstbesuchen hat er hierzulande noch kaum ein persönliches Engagement im Rahmen einer Kirchgemeinde entfaltet und es erübrigt sich, die angekündigte Nachreichung einer Bestätigung dieser Kirchenbesuche abzuwarten. Es besteht kein Anlass zur Annahme, die Glaubensausübung hierzulande könnte das Interesse der heimatlichen Behörden auf ihn lenken. Hinweise darauf, die iranischen Behörden hätten Kenntnis von der christlichen Glaubensausübung des Beschwerdeführers in der Schweiz erhalten, sind ebenfalls nicht ersichtlich. Es ist daher nicht davon auszugehen, er hätte bei einer Rückkehr in den Iran mit überwiegender Wahrscheinlichkeit flüchtlingsrechtlich relevante, ernsthafte Nachteil im Sinne von Art. 3 AsylG zu gewärtigen.</w:t>
      </w:r>
    </w:p>
    <w:p>
      <w:r>
        <w:rPr>
          <w:b/>
        </w:rPr>
        <w:t>E. 4.4</w:t>
      </w:r>
    </w:p>
    <w:p>
      <w:r>
        <w:t>Im Ergebnis hat das SEM aufgrund des Gesagten die Flüchtlingseigenschaft zu Recht verneint und das Asylgesuch des Beschwerdeführers folgerichtig abgelehnt.</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unter Verweis auf die vorstehenden Ausführungen zum Asylpunkt nicht gelungen. Es bestehen keine hinreichenden Anhaltspunkte für eine ernsthafte und konkrete Gefährdung des Beschwerdeführers in seinem Heimatstaat im Sinne von Art. 3 EMRK. Auch die allgemeine Menschenrechtssituation im Iran lässt den Wegweisungsvollzug zum heutigen Zeitpunkt nicht als unzulässig erscheinen.</w:t>
      </w:r>
    </w:p>
    <w:p>
      <w:r>
        <w:rPr>
          <w:b/>
        </w:rPr>
        <w:t>E. 6.2.3</w:t>
      </w:r>
    </w:p>
    <w:p>
      <w:r>
        <w:t>Der Vollzug der Wegweisung ist somit sowohl im Sinne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Im Iran herrscht weder Krieg oder Bürgerkrieg noch eine Situation allgemeiner Gewalt, aufgrund derer eine Rückkehr generell unzumutbar wäre. Auch unter Berücksichtigung der Umstände, dass die Staatsordnung als totalitär zu bezeichnen ist und die allgemeine Situation in verschiedener Hinsicht problematisch sein kann, wird der Vollzug der Wegweisung in den Iran nach konstanter Praxis grundsätzlich als zumutbar erachtet (vgl. beispielsweise Urteile des BVGer D-4350/2018 vom 15. Juli 2019 E. 9.5, E-2780/2019 vom 11. Juli 2019 E. 8.3, E-2889/2019 vom 10. Juli 2019 E. 9.5, E-6175/2017 vom 28. Mai 2019 E. 8.4.1).</w:t>
      </w:r>
    </w:p>
    <w:p>
      <w:r>
        <w:rPr>
          <w:b/>
        </w:rPr>
        <w:t>E. 6.3.2</w:t>
      </w:r>
    </w:p>
    <w:p>
      <w:r>
        <w:t>Das SEM hat sodann zu Recht festgestellt, dass nicht davon auszugehen ist, der Beschwerdeführer, der keine gesundheitlichen Beschwerden vorbrachte, würde bei einer Rückkehr in den Iran aus individuellen Gründen wirtschaftlicher, sozialer oder gesundheitlicher Natur in eine seine Existenz gefährdende Situation geraten, die als konkrete Gefährdung im Sinne der zu beachtenden Bestimmung zu werten wäre (Art. 83 Abs. 4 AIG). Der Beschwerdeführer lebte eigenen Angaben zufolge seit Kindesalter in E._______. Er verfügt über ein soziales Beziehungsnetz ([Aufzählung]) und langjährige Arbeitserfahrung als (...); eine Tätigkeit, die gut entlöhnt worden sei. Es darf somit davon ausgegangen werden, dass ihm die soziale und wirtschaftliche Wiedereingliederung im Heimatstaat gelingen und er auch künftig in der Lage sein wird, für den Lebensunterhalt aufzukommen.</w:t>
      </w:r>
    </w:p>
    <w:p>
      <w:r>
        <w:rPr>
          <w:b/>
        </w:rPr>
        <w:t>E. 6.3.3</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Mit vorliegendem Urteil ist das Beschwerdeverfahren abgeschlossen, weshalb sich der Antrag auf Verzicht auf die Erhebung eines Kostenvorschusses als gegenstandslos erweist.</w:t>
      </w:r>
    </w:p>
    <w:p>
      <w:r>
        <w:rPr>
          <w:b/>
        </w:rPr>
        <w:t>E. 9.1</w:t>
      </w:r>
    </w:p>
    <w:p>
      <w:r>
        <w:t>Das Gesuch um Gewährung der unentgeltlichen Prozessführung gemäss Art. 65 Abs. 1 VwVG ist gutzuheissen, zumal von der prozessualen Bedürftigkeit des Beschwerdeführers auszugehen ist. Dementsprechend sind keine Verfahrenskosten zu erheben.</w:t>
      </w:r>
    </w:p>
    <w:p>
      <w:r>
        <w:rPr>
          <w:b/>
        </w:rPr>
        <w:t>E. 9.2</w:t>
      </w:r>
    </w:p>
    <w:p>
      <w:r>
        <w:t>Damit ist auch das Gesuch um Bewilligung der unentgeltlichen Rechtsverbeiständung gutzuheissen (Art. 102m Abs. 1 Bst. a i.V.m. Abs. 4 AsylG) und die rubrizierte Rechtsvertreterin dem Beschwerdeführer als unentgeltliche Rechtsbeiständin beizuordnen. Die amtliche Rechtsvertretung ist unbesehen des Ausgangs des Verfahrens zu entschädigen. Bei der Bemessung des amtlichen Honorars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und es wird nur der notwendige Aufwand entschädigt (vgl. Art. 8 VGKE). Die Rechtsvertreterin reichte mit der Rechtsmitteleingabe vom 17. September 2019 ihre Kostennote ein. Sie bezifferte den zeitlichen Aufwand mit 10 Stunden und beantragte einen Stundenansatz von Fr. 150.-. Zudem machte sie eine Dossiereröffnungspauschale von Fr. 50.- sowie Auslagen von Fr. 84.- (Fr. 4.- Porto, Fr. 80.- Dolmetscherkosten) geltend und wies darauf hin, dass keine Mehrwertsteuerpflicht bestehe. Der zeitliche Aufwand scheint relativ hoch, aber noch angemessen. Der Stundenansatz von Fr. 150.- liegt im Kostenrahmen. Indes ist die Dossiereröffnungspauschale zu kürzen; generelle Pauschalen werden praxisgemäss nicht vergütet, sondern nur effektiv ausgewiesene Kosten entschädigt. Das amtliche Honorar ist somit vorliegend auf insgesamt Fr. 1584.- (einschliesslich Auslagen; ohne Mehrwertsteuerzuschlag)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