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D-4758/2010 vom 30. August 2010</w:t>
      </w:r>
    </w:p>
    <w:p>
      <w:r>
        <w:t>Bundesverwaltungsgericht, 2010-08-30, DE</w:t>
      </w:r>
    </w:p>
    <w:p>
      <w:r>
        <w:rPr>
          <w:b/>
        </w:rPr>
        <w:t xml:space="preserve">Quelle: </w:t>
      </w:r>
      <w:r>
        <w:t>https://mcp.opencaselaw.ch/entscheid/bvger_D-4758_2010</w:t>
      </w:r>
    </w:p>
    <w:p>
      <w:r>
        <w:t>FR: TAF D-4758/2010 du 30 août 2010</w:t>
      </w:r>
    </w:p>
    <w:p>
      <w:r>
        <w:t>IT: TAF D-4758/2010 del 30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3.3</w:t>
      </w:r>
    </w:p>
    <w:p>
      <w:r>
        <w:t>In formeller Hinsicht ist darauf hinzuweisen, dass die schweizerische Vertretung mit der asylsuchenden Person aus dem Ausland in der Regel eine Befragung durchführt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 in casu wurde das schriftliche Asylgesuch von seinem in der Schweiz wohnhaften Rechtsvertreter direkt ans BFM gesendet - sowie unter anderem weitere zweckdienliche Unterlagen (Art. 10 Abs. 3 AsylV 3).</w:t>
      </w:r>
    </w:p>
    <w:p>
      <w:r>
        <w:rPr>
          <w:b/>
        </w:rPr>
        <w:t>E. 3.4</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1997 Nr. 15 E. 2e-g S. 131 ff.; die dort akzentuierte Praxis hat nach bloss redaktionellen Änderungen bei der letzten Totalrevision des Asylgesetzes nach wie vor Gültigkeit).</w:t>
      </w:r>
    </w:p>
    <w:p>
      <w:r>
        <w:rPr>
          <w:b/>
        </w:rPr>
        <w:t>E. 3.6</w:t>
      </w:r>
    </w:p>
    <w:p>
      <w:r>
        <w:t>Hält sich die Person, die ein Asylgesuch aus dem Ausland gestellt hat, in einem Drittstaat auf, bedeutet dies nicht zwingend, dass es ihr auch zuzumuten ist, sich dort um Aufnahme zu bemühen (vgl. EMARK 2004 Nr. 21 E.4). In einem solchen Falle ist aber im Sinne einer Regelvermutung davon auszugehen, die betreffende Person habe in diesem Drittstaat bereits anderweitig Schutz gefunden, was in der Regel zur Ablehnung des Asylgesuchs und der Verweigerung der Einreisebewilligung führt (vgl. Urteil des Bundesverwaltungsgerichts E-7996/2008 vom 10. Dezember 2009 E.2.2).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EMARK 2004 Nr. 21 E.4; EMARK 1997 Nr. 15 E. 2f).</w:t>
      </w:r>
    </w:p>
    <w:p>
      <w:r>
        <w:rPr>
          <w:b/>
        </w:rPr>
        <w:t>E. 4.1</w:t>
      </w:r>
    </w:p>
    <w:p>
      <w:r>
        <w:t>Vorab ist festzuhalten, dass das Bundesverwaltungsgericht in Übereinstimmung mit der Vorinstanz davon ausgeht, dass der Beschwerdeführer ernstzunehmende Schwierigkeiten mit den eritrei-schen Behörden gehabt hat beziehungsweise diese bei einer Rückkehr in seine Heimat aufgrund der Desertion aus dem Militärdienst hätte. Diese Feststellung wird mit dem von den sudanesischen Behörden (COR) beziehungsweise dem UNHCR ausgestellten Flüchtlingsausweis gestützt.</w:t>
      </w:r>
    </w:p>
    <w:p>
      <w:r>
        <w:rPr>
          <w:b/>
        </w:rPr>
        <w:t>E. 4.1.1</w:t>
      </w:r>
    </w:p>
    <w:p>
      <w:r>
        <w:t>Der Beschwerdeführer brachte in seiner Eingabe vom 1. Juli 2010 zur Begründung seines Asylgesuchs im Wesentlichen vor, dass er in höchstem Masse von einer Rückschaffung nach Eritrea bedroht sei. Es würden auch anerkannte Flüchtlinge vom Sudan nach Eritrea deportiert. Bei einer zwangsweisen Rückkehr nach Eritrea sei er aufgrund der von der Vorinstanz nicht bestrittenen Fluchtgründe massiven Verfolgungsmassnahmen seitens des eritreischen Regimes ausgesetzt. Zudem sei er wegen seiner Herkunft und aufgrund seines christlichen Glaubens an seinem jetzigen Aufenthaltsort im Sudan auch schon Opfer von willkürlichen Übergriffen geworden. Überdies werde er von der sudanesischen Bevölkerung und Regierung unter anderem wegen seines christlichen Glaubens diskriminiert, was für ihn mit einem unerträglichen psychischen Druck einhergehe.</w:t>
      </w:r>
    </w:p>
    <w:p>
      <w:r>
        <w:rPr>
          <w:b/>
        </w:rPr>
        <w:t>E. 4.1.2</w:t>
      </w:r>
    </w:p>
    <w:p>
      <w:r>
        <w:t>Nach Einschätzung des Bundesverwaltungsgerichts ist das Risiko einer Deportation für Eritreer, die im Sudan als Flüchtlinge anerkannt sind, gering. Das UNHCR registriert vor Ort sämtliche Eritreer, die sich in einem Flüchtlingslager melden, unabhängig davon, weshalb sie Eritrea verlassen haben. Weiter besuchen Anwälte des lokalen UNHCR Eritreer, die im Sudan mit dem Gesetz in Konflikt geraten sind, im Gefängnis, klären deren Status ab und intervenieren bei drohender Deportation. Verantwortliche des UNHCR bestätigen zudem, dass ihnen keine Deportationen eritreischer Flüchtlinge in jüngster Vergangenheit bekannt seien. Es besteht zwar grundsätzlich das Risiko, dass Personen ohne Wissen des UNHCR deportiert werden. Die Erfahrungen haben aber gezeigt, dass davon vorwiegend Personen mit einem hohen politischen Profil betroffen sind. Der Beschwerdeführer verfügt aber wie die allermeisten der 165'800 eritreischen Flüchtlinge und Asylbewerber im Sudan offensichtlich über kein solches politisches Profil und gehört deshalb nicht zu jenem Personenkreis, der allenfalls akut von einer Rückschaffung bedroht sein könnte. Diese Feststellungen folgen dann auch der bisherigen Praxis des Bundesverwaltungsgerichts, wonach Rückführungen von eritreischen Flüchtlingen aus dem Sudan nicht flächendeckend erfolgen würden (vgl. Urteil des Bundesverwaltungsgerichts D-2047/2010 vom 29. April 2010 S. 9) oder angesichts der grossen Zahl der im Sudan lebenden eritreischen Asylsuchenden und Flüchtlinge sich keine generelle Gefahr einer Rückschiebung nach Eritrea ableiten lasse (vgl. Urteil des Bundesverwaltungsgerichts D-4548/2009 vom 18. Februar 2009 E. 6.2. S. 14).</w:t>
      </w:r>
    </w:p>
    <w:p>
      <w:r>
        <w:rPr>
          <w:b/>
        </w:rPr>
        <w:t>E. 4.1.3</w:t>
      </w:r>
    </w:p>
    <w:p>
      <w:r>
        <w:t>Im Sudan stellt das UNHCR in Zusammenarbeit mit lokalen Partnerbehörden die nötigen existenzsichernden Grundlagen in den Flüchtlingslagern wie beispielsweise Obdach, Nahrung, medizinische Behandlung usw. bereit. Der alleinstehende und gemäss Akten gesunde Beschwerdeführer ist also gehalten, von Khartum in das ihm zugeteilte Flüchtlingslager Shegerab zurückzukehren (da er im Sudan ohnehin nicht über ein freies Aufenthaltsrecht verfügt), was wiederum die Gefahr einer Deportation nach Eritrea minimiert.</w:t>
      </w:r>
    </w:p>
    <w:p>
      <w:r>
        <w:rPr>
          <w:b/>
        </w:rPr>
        <w:t>E. 4.1.4</w:t>
      </w:r>
    </w:p>
    <w:p>
      <w:r>
        <w:t>Schliesslich ist zu prüfen, ob dem Beschwerdeführer gestützt auf die Beziehungsnähe zur Schweiz und die entsprechenden Einglie-derungs- und Assimilationsmöglichkeiten die Einreise in die Schweiz zu bewilligen ist oder gestützt auf diese Kriterien der Verbleib im Sudan und die weitere Unterschutzstellung durch diesen Drittstaat aufrechterhalten bleiben kann (vgl. E. 3.5 oben). Für den Weiterverbleib des Beschwerdeführers im Sudan spricht zweifelsohne, dass er sich bereits seit Monaten dort aufhält, einer Arbeit nachgeht und ein Beziehungsnetz aufgebaut hat. Das nicht sehr enge verwandtschaftliche Verhältnis zu seinen in der Schweiz lebenden Cousins als einziger Bezugspunkt zur Schweiz vermag die eben erwähnten Faktoren nicht aufzuwiegen. An dieser Einschätzung vermag auch sein christlicher Glaube nichts zu ändern. Gemäss gesicherten Kenntnissen des Bundesverwaltungsgerichts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der Beschwerdeführer durch eine Rückkehr in das ihm zugeteilte Flüchtlingslager Shegerab (wo eine grosse Zahl der Flüchtlinge christlichen Glaubens sein dürften) jedoch weitgehend entziehen. Nach dem Gesagten ist somit festzuhalten, dass der Beschwerdeführer den subsidiären Schutz der Schweiz gemäss Art. 52 Abs. 2 AsylG nicht benötigt.</w:t>
      </w:r>
    </w:p>
    <w:p>
      <w:r>
        <w:rPr>
          <w:b/>
        </w:rPr>
        <w:t>E. 4.1.5</w:t>
      </w:r>
    </w:p>
    <w:p>
      <w:r>
        <w:t>Vor diesem Hintergrund kommt das Bundesverwaltungsgericht zum Schluss, dass es dem Beschwerdeführer zuzumuten ist, weiterhin den Schutz des sudanesischen Staates in Anspruch zu nehmen, im Sudan zu verbleiben und ins Flüchtlingslager Shegerab zurückzukehren.</w:t>
      </w:r>
    </w:p>
    <w:p>
      <w:r>
        <w:rPr>
          <w:b/>
        </w:rPr>
        <w:t>E. 4.2</w:t>
      </w:r>
    </w:p>
    <w:p>
      <w:r>
        <w:t>Auch die weiteren Vorbringen in der Rechtsmitteleingabe vom 1. Juli 2010 sind nicht geeignet, eine Änderung der vorinstanzlichen Verfügung zu bewirken. Der Argumentation des BFM werden keine stichhaltigen und substanziierten Gründe entgegengesetzt. Die Ausführungen des Beschwerdeführers vermögen die in den wesentlichen Punkten substanziierten und nachvollziehbaren Erwägungen der Vorinstanz nicht umzustossen.</w:t>
      </w:r>
    </w:p>
    <w:p>
      <w:r>
        <w:rPr>
          <w:b/>
        </w:rPr>
        <w:t>E. 4.3</w:t>
      </w:r>
    </w:p>
    <w:p>
      <w:r>
        <w:t>Schliesslich hat die Vorinstanz unter Hinweis auf BVGE 2009/8 ausgeführt, weshalb der Beschwerdeführer und sein Cousin mütterlicherseits (...) nicht als nahe Angehörige im Sinne von Art. 51 AsylG angesehen werden könnten und deshalb die Voraussetzungen für einen Familiennachzug nicht gegeben seien. Es ist jedoch festzuhalten, dass der Beschwerdeführer gar nie geltend gemacht hat, er sei in die Flüchtlingseigenschaft seines Cousins einzubeziehen, zumal Letzterer ohnehin Schweizer und nicht Flüchtling ist. Somit hat das BFM zu Unrecht den Familiennachzug gemäss Art. 51 AsylG geprüft, weshalb darauf nicht näher einzugehen ist.</w:t>
      </w:r>
    </w:p>
    <w:p>
      <w:r>
        <w:rPr>
          <w:b/>
        </w:rPr>
        <w:t>E. 4.4</w:t>
      </w:r>
    </w:p>
    <w:p>
      <w:r>
        <w:t>Aufgrund der vorstehenden Erwägungen erübrigt es sich, auf die weiteren Vorbringen in der Beschwerde sowie die eingereichten Beweismittel im Einzelnen einzugehen, das sie am Ergebnis nichts zu ändern vermögen.</w:t>
      </w:r>
    </w:p>
    <w:p>
      <w:r>
        <w:rPr>
          <w:b/>
        </w:rPr>
        <w:t>E. 5</w:t>
      </w:r>
    </w:p>
    <w:p>
      <w:r>
        <w:t>Zusammenfassend ist festzustellen, dass es dem Beschwerdeführer nicht gelungen ist,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 Das BFM hat demnach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an sich dem Beschwerdeführer aufzuerlegen (Art. 63 Abs. 1VwVG); indessen wird in Anwendung von Art. 6 Bst. b des Reglements vom 21. Februar 2008 über die Kosten und Entschädigungen vor dem Bundesverwaltungsgericht (VGKE, SR 173.320.2) auf das Erheben von Verfahrenskosten verzichtet. Somit ist mit vorliegendem Urteil und dem Erlass der Verfahrenskosten das Gesuch um unentgeltliche Rechtspflege gemäss Art. 65 Abs. 1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