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D-4756/2013 vom 9. Oktober 2013</w:t>
      </w:r>
    </w:p>
    <w:p>
      <w:r>
        <w:t>Bundesverwaltungsgericht, 2013-10-09, DE</w:t>
      </w:r>
    </w:p>
    <w:p>
      <w:r>
        <w:rPr>
          <w:b/>
        </w:rPr>
        <w:t xml:space="preserve">Quelle: </w:t>
      </w:r>
      <w:r>
        <w:t>https://mcp.opencaselaw.ch/entscheid/bvger_D-4756_2013</w:t>
      </w:r>
    </w:p>
    <w:p>
      <w:r>
        <w:t>FR: TAF D-4756/2013 du 9 octobre 2013</w:t>
      </w:r>
    </w:p>
    <w:p>
      <w:r>
        <w:t>IT: TAF D-4756/2013 del 9 ottobre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vom 26. Juni 1998 [AsylG, SR 142.31]; Art. 83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Der Zeitpunkt der Eröffnung der angefochtenen Verfügung steht mangels Leserlichkeit des Rückscheins bei den Akten nicht fest. Aus den Akten ist ersichtlich, dass die vorinstanzliche Verfügung vom 16. Mai 2013 von der B.______ am 28. Mai 2013 versandt wurde. Im Weiteren steht fest, dass die Be­schwerdeeingabe am 2. Juli 2013 bei der Schweizerischen Vertretung eintraf. Mangels Leserlichkeit des Rückscheins steht somit nicht mit Bestimmtheit fest, ob die eingereichte Be­schwerde rechtzeitig erfolgt ist. Da die Beweislast für die Zustellung an die Partei der eröffnenden Behörde obliegt (vgl. André Moser/Michael Beusch/Lorenz Kneubühler, Prozessieren vor dem Bundesverwaltungs­gericht, Basel 2008, Rz. 3.150, S. 166 f.), ist nach dem Gesagten zugunsten des Beschwerdeführers davon auszugehen, dass die am 2. Juli 2013 bei der Schweizerischen Vertretung eingetroffene Beschwerde (vgl. Sach­verhalt Bst. F) rechtzeitig erfolgt ist..</w:t>
      </w:r>
    </w:p>
    <w:p>
      <w:r>
        <w:rPr>
          <w:b/>
        </w:rPr>
        <w:t>E. 1.5</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alt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BFM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Vorab ist festzustellen, dass das erstinstanzliche Asylverfahren unakzeptabel lang gedauert hat, hat doch der Beschwerdeführer sein Asylgesuch vor vierzehn Jahren (1999) schriftlich eingereicht und vor sechs Jahren (2007) sein anhaltendes Interesse daran mit Brief bekräftigt, worauf er erstmals im Oktober 2012 eine inhaltliche Reaktion von einer Schweizer Behörde erhielt. Durch diesen langen Zeitablauf haben die von ihm ursprünglich aufgeführten Gründe und seine gegenwärtige Situation nur noch wenig gemein, was einer korrekten Verfahrensführung und namentlich der Erstellung des relevanten Sachverhaltes wenig förderlich ist.</w:t>
      </w:r>
    </w:p>
    <w:p>
      <w:r>
        <w:rPr>
          <w:b/>
        </w:rPr>
        <w:t>E. 5.4</w:t>
      </w:r>
    </w:p>
    <w:p>
      <w:r>
        <w:t>Aus nachfolgenden Gründen ist die Einschätzung des BFM in der angefochtenen Verfügung, wonach sich aus den wesentlichen Vorbringen des Beschwerdeführers, nach seiner Haft vom (...)bis zum (...) würden sich während seiner Abwesenheit regelmässig Unbekannte nach ihm erkundigen, keine asylrelevante Gefährdungssituation des Beschwerdeführers ergebe, zu bestätigen.</w:t>
      </w:r>
    </w:p>
    <w:p>
      <w:r>
        <w:rPr>
          <w:b/>
        </w:rPr>
        <w:t>E. 5.5</w:t>
      </w:r>
    </w:p>
    <w:p>
      <w:r>
        <w:t>Zum einen ist mit der Vorinstanz festzuhalten, dass der Beschwerdeführer am (...) ohne Auflagen oder Bedingungen aus der Haft entlassen wurde, was auf ein fehlendes Verfolgungsinteresse des sri-lankischen Staates schliessen lässt; eine Einschätzung, die durch die Tatsache bestätigt wird, dass es in den vergangenen zehn Jahren zu keinen weiteren behördlichen Behelligungen des Beschwerdeführers mehr gekommen ist, zumal die Polizei dem Beschwerdeführer gegenüber, nachdem dieser von den regelmässigen Besuchen Unbekannter berichtet hatte, versicherte, dass seitens der Polizei kein Interesse am Beschwerdeführer bestehe. Es gibt somit keine konkreten Anhaltspunkte für eine begründete Furcht des Beschwerdeführers vor künftiger Verfolgung. In diesem Zusammenhang ist im Weiteren auf die veränderte allgemeine Situation in Sri Lanka hinzuweisen. Nach Beendigung des Krieges und der endgültigen Niederlage der LTTE ist die Gefahr für den Beschwerdeführer, erneut der Zugehörigkeit zu den LTTE verdächtigt zu werden, tendenziell geringer geworden. Indessen haben die sri-lankischen Be­hörden - namentlich im Grossraum Colom­bo - die Si­cherheitsmass­nahmen nicht gelockert. Daher besteht die Möglichkeit, überall und jederzeit von sri-lankischem Si­cher­heits­personal einer minuziösen Personenkontrolle unterzogen und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Zum anderen ist - sollte der Beschwerdeführer tatsächlich von unbekannten Dritten über eine derart lange Zeitdauer behelligt worden sein, was doch wenig wahrscheinlich erscheint - festzuhalten, dass diese Behelligungen mangels Intensität nicht als asylrelevant zu erachten sind. Im Weiteren ist von der Schutzfähigkeit des sri-lankischen Staates auszugehen, weshalb grundsätzlich die Möglichkeit besteht, bei den zuständigen Behörden um Schutz vor Verfolgung seitens Dritter zu ersuchen. Vorliegend ergeben sich keine Anhaltspunkte auf eine Schutzunwilligkeit des sri-lankischen Staates, hat der Beschwerdeführer doch im Rahmen des vorinstanzlichen Verfahrens nicht geltend gemacht, vergeblich um behördlichen Schutz ersucht zu haben. An dieser Einschätzung vermögen die Argumente in der Beschwerde, die sich in einer Wiederholung der bereits im Rahmen des vorinstanzlichen Verfahrens geltend gemachten Vorbringen erschöpfen, nichts zu ändern. 6.Somit ist es dem Beschwerdeführer nicht gelungen, eine aktuelle Gefährdung im Sinne von Art. 3 AsylG aufzuzeigen, welche die Bewilligung der Ein­reise in die Schweiz rechtfertigen würde. Die Schutzbedürftigkeit des Beschwerdeführers im Sinne von alt Art. 20 i.V.m. Art. 3 AsylG ist nicht gegeben. Im Übrigen ist auch eine Beziehungsnähe des Beschwerdeführers zur Schweiz zu verneinen (alt Art. 52 Abs. 2 AsylG). Das BFM hat dem Beschwerdeführer zu Recht die Einreise in die Schweiz verweigert und das Asylgesuch abgelehnt. 7.Aus diesen Erwägungen ergibt sich, dass die angefochtene Verfügung Bundesrecht nicht verletzt, den rechtserheblichen Sachverhalt richtig und vollständig feststellt und angemessen ist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