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D-4748/2020 vom 1. Oktober 2020</w:t>
      </w:r>
    </w:p>
    <w:p>
      <w:r>
        <w:t>Bundesverwaltungsgericht, 2020-10-01, DE</w:t>
      </w:r>
    </w:p>
    <w:p>
      <w:r>
        <w:rPr>
          <w:b/>
        </w:rPr>
        <w:t xml:space="preserve">Quelle: </w:t>
      </w:r>
      <w:r>
        <w:t>https://mcp.opencaselaw.ch/entscheid/bvger_D-4748_2020</w:t>
      </w:r>
    </w:p>
    <w:p>
      <w:r>
        <w:t>FR: TAF D-4748/2020 du 1 octobre 2020</w:t>
      </w:r>
    </w:p>
    <w:p>
      <w:r>
        <w:t>IT: TAF D-4748/2020 del 1 ottobre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In der Beschwerde werden formelle Rügen erhoben, welche vorab zu beurteilen sind, da sie gegebenenfalls geeignet sind, eine Kassation der vorinstanzlichen Verfügung zu bewirken. Die Beschwerdeführenden werfen der Vorinstanz eine Verletzung der Pflicht zur vollständigen und richtigen Abklärung des rechtserheblichen Sachverhalts sowie der Begründungspflicht (respektive des Anspruchs auf rechtliches Gehör) vor.</w:t>
      </w:r>
    </w:p>
    <w:p>
      <w:r>
        <w:rPr>
          <w:b/>
        </w:rPr>
        <w:t>E. 5.2</w:t>
      </w:r>
    </w:p>
    <w:p>
      <w:r>
        <w:t>Die Aktenlage im Zeitpunkt des Ergehens der angefochtenen Verfügung stellte eine hinreichende Beurteilungsgrundlage dar. In Anbetracht der Dauer des vorinstanzlichen Verfahrens (knappe zwei Monate), in welchem die psychischen Beschwerden des Beschwerdeführers zu Beginn erwähnt wurden, und der Mitwirkungspflicht gemäss Art. 8 AsylG, war die Vorinstanz nicht verpflichtet, weitere konkrete Sachverhaltsabklärungen zu treffen. Diesbezüglich ist keine Verletzung der Pflicht zur vollständigen und richtigen Abklärung des rechtserheblichen Sachverhalts festzustellen.</w:t>
      </w:r>
    </w:p>
    <w:p>
      <w:r>
        <w:rPr>
          <w:b/>
        </w:rPr>
        <w:t>E. 5.3</w:t>
      </w:r>
    </w:p>
    <w:p>
      <w:r>
        <w:t>Sodann würdigte die Vorinstanz die in den Stellungnahmen zum rechtlichen Gehör vom 17. August 2020 und 16. September 2020 erhobenen Einwände. In diesem Zusammenhang ist festzuhalten, dass sich die verfügende Behörde nicht ausdrücklich mit jeder tatbestandlichen Behauptung und jedem rechtlichen Einwand auseinandersetzen muss, sondern sich auf die wesentlichen Gesichtspunkte beschränken darf (BGE 143 III 65 E. 5.2). Alleine der Umstand, dass die Vorinstanz nach Würdigung der Parteivorbringen zu einem anderen Schluss als die Beschwerdeführenden kommen, stellt keine Verletzung der Begründungspflicht respektive des Anspruches auf rechtliches Gehör dar, sondern beschlägt die Frage der materiellen Würdigung.</w:t>
      </w:r>
    </w:p>
    <w:p>
      <w:r>
        <w:rPr>
          <w:b/>
        </w:rPr>
        <w:t>E. 5.4</w:t>
      </w:r>
    </w:p>
    <w:p>
      <w:r>
        <w:t>Nach dem Gesagten besteht keine Veranlassung, die angefochtene Verfügung aus formellen Gründen aufzuheben und die Sache an die Vorinstanz zurückzuweisen. Das diesbezügliche Rechtsbegehren ist abzuweisen.</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Die Vorinstanz stellt in der angefochtenen Verfügung zutreffend fest, dass es sich bei Bulgarien, als Mitglied der Europäischen Union (EU), um einen verfolgungssicheren Drittstaat im Sinne von Art. 6a Abs. 2 Bst. b AsylG handelt (vgl. Beschluss des Bundesrates vom 14. Dezember 2007). Den vorinstanzlichen Akten ist sodann zu entnehmen, dass die Beschwerdeführenden in Bulgarien als Flüchtlinge anerkannt wurden und die bulgarischen Behörden ihrer Rückübernahme ausdrücklich zustimmten (vgl. Prozessgeschichte, Bst. B.b).</w:t>
      </w:r>
    </w:p>
    <w:p>
      <w:r>
        <w:rPr>
          <w:b/>
        </w:rPr>
        <w:t>E. 6.3</w:t>
      </w:r>
    </w:p>
    <w:p>
      <w:r>
        <w:t>Die Beschwerdeführenden bestreiten nicht, dass sie in Bulgarien als Flüchtlinge anerkannt wurden, und sie haben nicht behauptet, das Asylverfahren in Bulgarien sei in ihrem Falle fehlerhaft gewesen beziehungsweise es würde ihnen dort die Rückschiebung in ihren Heimat- oder Herkunftsstaat unter Verletzung des Refoulement-Verbots drohen. Auch enthält die Beschwerde keine diesbezüglichen Einwände, so dass die Vorinstanz in Anwendung von Art. 31a Abs. 1 Bst. a AsylG zu Recht auf die Asylgesuche der Beschwerdeführenden nicht eingetreten ist.</w:t>
      </w:r>
    </w:p>
    <w:p>
      <w:r>
        <w:rPr>
          <w:b/>
        </w:rPr>
        <w:t>E. 7</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2013/37 E. 4.4;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Vorliegend ist einzig der Vollzug der Wegweisung nach Bulgarien einer Prüfung zu unterziehen, nicht aber ein solcher in den Heimat- oder Herkunftsstaat Syrien.</w:t>
      </w:r>
    </w:p>
    <w:p>
      <w:r>
        <w:rPr>
          <w:b/>
        </w:rPr>
        <w:t>E. 8.2</w:t>
      </w:r>
    </w:p>
    <w:p>
      <w:r>
        <w:t>Der Vollzug der Wegweisung ist nicht zulässig, wenn völkerrechtliche Verpflichtungen der Schweiz (insbesondere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83 Abs. 4 AIG kann der Vollzug für Ausländerinnen und Ausländer unzumutbar sein, wenn sie im aufnehmenden Staat aufgrund von Situationen wie Krieg, Bürgerkrieg, allgemeiner Gewalt und medizinischer Notlage konkret gefährdet sind.</w:t>
      </w:r>
    </w:p>
    <w:p>
      <w:r>
        <w:rPr>
          <w:b/>
        </w:rPr>
        <w:t>E. 8.3</w:t>
      </w:r>
    </w:p>
    <w:p>
      <w:r>
        <w:t>Gemäss Art. 6a AsylG besteht zugunsten sicherer Drittstaaten - wie Bulgarien einer ist (vgl. oben E. 6.2)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8.3.1</w:t>
      </w:r>
    </w:p>
    <w:p>
      <w:r>
        <w:t>Das Bundesverwaltungsgericht anerkennt, dass die Situation in Bulgarien teilweise problematisch ist. Dennoch geht es davon aus, dass Schutzberechtigte dort Schutz vor Rückschiebung im Sinne von Art. 33 Abs. 1 FK finden sowie, dass Bulgarien als Signatarstaat der EMRK, der FoK sowie der KRK seinen entsprechenden völkerrechtlichen Verpflichtungen grundsätzlich nachkommt. Namentlich ist festzuhalten, dass Bulgarien - wie bereits erwähnt -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27 [Bildung], Art. 29 Abs. 2 [Sozial- und Nothilfe] und Art. 30 Abs. 2 [medizinische Versorgung]). An dieser Einschätzung vermögen auch die in der Beschwerdeschrift vorgenommenen Verweise auf die Rechtsprechung anderer europäischer Staaten betreffend Bulgarien nichts zu ändern (vgl. dazu Urteil des BVGer E-4405/2020 vom 18. September 2020, E. 7.3.1 m.w.H.).</w:t>
      </w:r>
    </w:p>
    <w:p>
      <w:r>
        <w:rPr>
          <w:b/>
        </w:rPr>
        <w:t>E. 8.3.2</w:t>
      </w:r>
    </w:p>
    <w:p>
      <w:r>
        <w:t>Auch wenn die Beschwerdeführenden in Bulgarien zugegebenermassen keine einfachen Lebensbedingungen vorfinden werden, ist entgegen den Beschwerdevorbringen nicht von einer unmenschlichen oder entwürdigenden Behandlung im Sinne von Art. 3 EMRK respektive von einer existenziellen Notlage auszugehen. Die Beschwerdeführenden haben weder im erstinstanzlichen Verfahren noch im Beschwerdeverfahren dargelegt, welche konkreten Schritte sie nach Anerkennung ihres Schutzstatus im Zusammenhang mit den geltend gemachten vorenthaltenen Ansprüchen eingeleitet hätten. Wie die Vorinstanz zutreffend festgehalten hat, sind sie gehalten, die ihnen zustehenden Unterstützungsleistungen und weiteren Rechte direkt bei den zuständigen Behörden einzufordern, falls notwendig auf dem Rechtsweg.</w:t>
      </w:r>
    </w:p>
    <w:p>
      <w:r>
        <w:rPr>
          <w:b/>
        </w:rPr>
        <w:t>E. 8.3.3</w:t>
      </w:r>
    </w:p>
    <w:p>
      <w:r>
        <w:t>Sodann kann eine zwangsweise Rückweisung von Personen mit gesundheitlichen Problemen nur ganz ausnahmsweise einen Verstoss gegen Art. 3 EMRK darstellen. Die geltend gemachten - und darüber hinaus unbelegten - psychischen Probleme des Beschwerdeführers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w:t>
      </w:r>
    </w:p>
    <w:p>
      <w:r>
        <w:rPr>
          <w:b/>
        </w:rPr>
        <w:t>E. 8.3.4</w:t>
      </w:r>
    </w:p>
    <w:p>
      <w:r>
        <w:t>Zur Vermeidung von Wiederholungen kann im Übrigen auf die zutreffenden Erwägungen in der angefochtenen Verfügung verwiesen werden (vgl. die Zusammenfassung der entsprechenden Erwägungen in Bst. F. des vorliegenden Urteils).</w:t>
      </w:r>
    </w:p>
    <w:p>
      <w:r>
        <w:rPr>
          <w:b/>
        </w:rPr>
        <w:t>E. 8.3.5</w:t>
      </w:r>
    </w:p>
    <w:p>
      <w:r>
        <w:t>Nach dem Gesagten ist es den Beschwerdeführenden nicht gelungen, die Vermutung, dass Bulgarien seinen völkerrechtlichen Verpflichtungen nachkommt und die Wegweisung in diesen EU-Mitgliedstaat auch zumutbar ist, umzustossen.</w:t>
      </w:r>
    </w:p>
    <w:p>
      <w:r>
        <w:rPr>
          <w:b/>
        </w:rPr>
        <w:t>E. 8.4</w:t>
      </w:r>
    </w:p>
    <w:p>
      <w:r>
        <w:t>Der Vollzug der Wegweisung ist schliesslich in Übereinstimmung mit der Vorinstanz als möglich zu erachten; die bulgarischen Behörden haben einer Rückübernahme der Beschwerdeführenden ausdrücklich zugestimmt (vgl.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Die Beschwerdeführenden beantragen die Gewährung der unentgeltlichen Prozessführung (Art. 65 Abs. 1 VwVG). Aufgrund der vorstehenden Erwägungen ergibt sich, dass ihre Begehren als aussichtslos zu gelten haben. Damit ist eine der kumulativ zu erfüllenden Voraussetzungen nicht gegeben, weshalb das Gesuch ungeachtet der geltend gemachten Mittellosigkeit abzuweisen ist.</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