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D-4748/2014 vom 8. September 2014</w:t>
      </w:r>
    </w:p>
    <w:p>
      <w:r>
        <w:t>Bundesverwaltungsgericht, 2014-09-08, DE</w:t>
      </w:r>
    </w:p>
    <w:p>
      <w:r>
        <w:rPr>
          <w:b/>
        </w:rPr>
        <w:t xml:space="preserve">Quelle: </w:t>
      </w:r>
      <w:r>
        <w:t>https://mcp.opencaselaw.ch/entscheid/bvger_D-4748_2014</w:t>
      </w:r>
    </w:p>
    <w:p>
      <w:r>
        <w:t>FR: TAF D-4748/2014 du 8 septembre 2014</w:t>
      </w:r>
    </w:p>
    <w:p>
      <w:r>
        <w:t>IT: TAF D-4748/2014 del 8 settembre 2014</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Asylgesetz [AsylG, SR 142.31] i.V.m. Art. 31 und 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f. AsylG).</w:t>
      </w:r>
    </w:p>
    <w:p>
      <w:r>
        <w:rPr>
          <w:b/>
        </w:rPr>
        <w:t>E. 1.3</w:t>
      </w:r>
    </w:p>
    <w:p>
      <w:r>
        <w:t>Der Beschwerdeführer ist legitimiert (Art. 48 Abs. 1 VwVG) und er hat seine Beschwerde fristgerecht bei der schweizerischen Botschaft in Khartum eingereicht (Art. 108 Abs. 1 AsylG i.V.m. Art. 21 Abs. 1 VwVG), womit auf die Beschwerde einzutreten ist.</w:t>
      </w:r>
    </w:p>
    <w:p>
      <w:r>
        <w:rPr>
          <w:b/>
        </w:rPr>
        <w:t>E. 1.4</w:t>
      </w:r>
    </w:p>
    <w:p>
      <w:r>
        <w:t>Die Beschwerde erweist sich indes - wie nachfolgend aufgezeigt - als offensichtlich unbegründet, weshalb darüber in einzelrichterlicher Zuständigkeit mit Zustimmung eines zweiten Richters zu entscheiden ist (Art. 111 Bst. e AsylG). Gleichzeitig ist auf die Durchführung eines Schriftenwechsels zu verzichten und der Beschwerdeentscheid nur summarisch zu begründen (Art. 111a Abs. 1 und 2 AsylG).</w:t>
      </w:r>
    </w:p>
    <w:p>
      <w:r>
        <w:rPr>
          <w:b/>
        </w:rPr>
        <w:t>E. 1.5</w:t>
      </w:r>
    </w:p>
    <w:p>
      <w:r>
        <w:t>Nachdem die Beschwerdeeingabe ohne weiteres als abschliessend verstanden werden kann und gleichzeitig der entscheidrelevante Sachverhalt als vollständig erstellt zu erkennen ist, steht einem Verfahrensabschluss respektive einem Urteil während noch laufender Beschwerdefrist nichts entgegen (vgl. dazu: Entscheidungen und Mitteilungen der Schwei­zerischen Asylrekurskommission [EMARK] 1997 Nr. 13).</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Artikel 12, 19, 20, 41 Abs. 2, 52 und 68 in der bisherigen Fassung des Gesetzes gelten.</w:t>
      </w:r>
    </w:p>
    <w:p>
      <w:r>
        <w:rPr>
          <w:b/>
        </w:rPr>
        <w:t>E. 3.1</w:t>
      </w:r>
    </w:p>
    <w:p>
      <w:r>
        <w:t>Wird ein Asylgesuch im Ausland bei einer schweizerischen Vertretung gestellt, so führt diese mit der asylsuchenden Person in der Regel eine Befragung durch und überweist das Gesuch anschliessend an das BFM (vgl.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w:t>
      </w:r>
    </w:p>
    <w:p>
      <w:r>
        <w:rPr>
          <w:b/>
        </w:rPr>
        <w:t>E. 3.2</w:t>
      </w:r>
    </w:p>
    <w:p>
      <w:r>
        <w:t>Vorliegend wurde auf eine Befragung durch die Botschaft mangels entsprechender Kapazitäten der schweizerischen Botschaft in Khartum verzichtet und dem Beschwerdeführer, zwecks Wahrung des rechtlichen Gehörs, ein schriftlicher Fragenkatalog zugestellt. Vor dem Hintergrund der massgeblichen Praxis zur Behandlung von Asylgesuchen aus dem Ausland und Einreisebewilligungen sowie unter Berücksichtigung der Aktenlage ist festzustellen, dass im vorliegenden Verfahren auf eine Befragung verzichtet werden durfte und mit der Einladung zur Stellungnahme den massgeblichen verfahrensrechtlichen Anforderungen Genüge getan wurde (vgl. BVGE 2007/30, insbesondere E. 5.6 f.).</w:t>
      </w:r>
    </w:p>
    <w:p>
      <w:r>
        <w:rPr>
          <w:b/>
        </w:rPr>
        <w:t>E. 4.1</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BVGE 2011/10 E. 3.3 m.w.H.).</w:t>
      </w:r>
    </w:p>
    <w:p>
      <w:r>
        <w:rPr>
          <w:b/>
        </w:rPr>
        <w:t>E. 5.1</w:t>
      </w:r>
    </w:p>
    <w:p>
      <w:r>
        <w:t>Im angefochtenen Entscheid gelangt das BFM in entscheidrelevanter Hinsicht zum Schluss, der Beschwerdeführer sei nicht auf eine Schutzgewährung durch die Schweiz angewiesen, da er im Sudan nicht vor Verfolgung oder einer Abschiebung bedroht sei und für ihn ein weiterer Aufenthalt in diesem Staat auch zumutbar sei. Vom Beschwerdeführer wird dieser Schluss bestritten, indem er sich namentlich auf eine ihm angeblich drohende Abschiebung nach Äthiopien beruft, zumal sich der Sudan an keine völkerrechtlichen Verpflichtungen halte. Namentlich von daher sowie aufgrund der dort herrschenden Verhältnisse erklärt er einen weiteren Verbleib in Khartum als für ihn nicht länger zumutbar. Aufgrund der Aktenlage ist jedoch festzustellen, dass die Vorbringen des Beschwerdeführers nicht geeignet sind, die insgesamt zutreffenden Erwägungen des Bundesamtes betreffend die grundsätzliche Zumutbarkeit eines weiteren Verbleibs im Sudan zu erschüttern. In diesem Zusammenhang ist vorab darauf hin­zuweisen, dass bei einem Asylgesuch aus einem Drittstaat nach Lehre und Praxis die (widerlegbare) Regelvermutung besteht, die betreffende Person habe dort bereits anderweitig Schutz gefunden, weshalb sie nicht auf eine Schutzgewährung der Schweiz angewiesen sei, was zur Ablehnung des Asylgesuchs aus dem Ausland und zur Verweigerung der Einreisebewilligung führt (vgl. EMARK 2004 Nr. 21 E. 4 m.w.H.).</w:t>
      </w:r>
    </w:p>
    <w:p>
      <w:r>
        <w:rPr>
          <w:b/>
        </w:rPr>
        <w:t>E. 5.2</w:t>
      </w:r>
    </w:p>
    <w:p>
      <w:r>
        <w:t>Aus den Angaben und Ausführungen des Beschwerdeführers folgt, dass er schon seit fast neun Jahren ununterbrochen in Khartum lebt. Vor diesem Hintergrund darf ohne weiteres angenommen werden, er sei mit den im Sudan und namentlich in Khartum herrschenden Verhältnissen bestens vertraut. Zwar macht er geltend, er sei dort völlig auf sich alleine gestellt, zumal er - angeblich als Waisenkind - über keinerlei verwandtschaftlichen Anknüpfungspunkte verfüge. Aufgrund seines langjährigen Aufenthalts in Khartum ist jedoch davon auszugehen, dass er sich dort schon längst sowohl ein persönliches Beziehungsnetz innerhalb der äthiopischen Diaspora als auch eine tragfähige wirtschaftliche Existenz aufgebaut hat. Zwar macht der Beschwerdeführer geltend, sein Aufenthalt im Sudan sei illegal, weshalb er jederzeit vor einer Abschiebung in die Heimat bedroht sei. Seine diesbezüglichen Angaben und Ausführungen erscheinen jedoch als sehr zweifelhaft, zumal er diese im Verlauf des bisherigen Verfahrens massgeblich verändert hat. So machte er in seiner Eingabe vom 15. Februar 2012 zunächst geltend, er habe das Shegerab-Flüchtlingslager nach nur wenigen Tagen verlassen, sinngemäss ohne die Ausstellung von Flüchtlingspapieren abzuwarten. Demgegenüber brachte er in seiner Eingabe vom 29. April 2014 neu vor, er habe sich während insgesamt neun Monaten in Shegerab aufgehalten und das Lager erst verlassen, nachdem er erkannt habe, dass dort seine Ansprüche als Flüchtling missachtet würden. In seiner Beschwerdeeingabe berichtet er nunmehr über das angeblich erfolglose Durchlaufen eines eigentlichen Asylverfahrens im Shegerab-Flüchtlingslager, indem er auf eine angeblich mehrfache Anhörung zu seinen Gesuchsgründen durch die sudanesischen Behörden verweist. Aufgrund dieser erheblichen Veränderungen des Sachverhaltsvortrages ist in erster Linie zu schliessen, der Beschwerdeführer versuche gegenüber den schweizerischen Behörden die tatsächlichen Umstände seines Aufenthalts im Sudan zu verschleiern. Auch die Beschwerdevorbringen betreffend ein angeblich besonderes persönliches Gefährdungsprofil vermögen nicht zu überzeugen, zumal aufgrund der Aktenlage die Ausführungen über angeblich enge Kontakte zur äthiopischen Opposition als offenkundig nachgeschoben zu erkennen sind. Zum Vorbringen betreffend eine angeblich drohende Abschiebung in die Heimat bleibt schliesslich mit dem BFM festzuhalten, dass der Beschwerdeführer in ein Flüchtlingslager des UNHCR zurückkehren kann, sollte er sich an seinem derzeitigen Aufenthaltsort Khartum tatsächlich nicht mehr hinreichend sicher fühlen. Persönliche Gründe, welche gegen eine solche Unterschutzstellung sprechen würden, sind im Falle des Beschwerdeführers - gemäss Aktenlage ein junger, selbständiger und ungebundener Mann - nicht ersichtlich.</w:t>
      </w:r>
    </w:p>
    <w:p>
      <w:r>
        <w:rPr>
          <w:b/>
        </w:rPr>
        <w:t>E. 5.3</w:t>
      </w:r>
    </w:p>
    <w:p>
      <w:r>
        <w:t>Nach dem Gesagten ist aufgrund der Akten mit dem BFM zu schliessen, der Beschwerdeführer, welche in keiner Form eine Beziehungsnähe zur Schweiz erkennen lässt, verfüge im Sudan über eine zumutbare Aufenthaltsalternative. Vor diesem Hintergrund fällt die Bewilligung einer Einreise im Sinne der oben zitierten Praxis ausser Betracht.</w:t>
      </w:r>
    </w:p>
    <w:p>
      <w:r>
        <w:rPr>
          <w:b/>
        </w:rPr>
        <w:t>E. 5.4</w:t>
      </w:r>
    </w:p>
    <w:p>
      <w:r>
        <w:t>Zusammenfassend ergibt sich, dass das BFM dem Beschwerdeführer zu Recht die Erteilung einer Einreisebewilligung verweigert und das Asylgesuch aus dem Ausland abgelehnt hat.</w:t>
      </w:r>
    </w:p>
    <w:p>
      <w:r>
        <w:rPr>
          <w:b/>
        </w:rPr>
        <w:t>E. 6</w:t>
      </w:r>
    </w:p>
    <w:p>
      <w:r>
        <w:t>Nach vorstehenden Erwägungen ist die angefochtene Verfügung zu be­stä­tigen und die Beschwerde als offensichtlich unbegründet abzuweisen.</w:t>
      </w:r>
    </w:p>
    <w:p>
      <w:r>
        <w:rPr>
          <w:b/>
        </w:rPr>
        <w:t>E. 7</w:t>
      </w:r>
    </w:p>
    <w:p>
      <w:r>
        <w:t>Bei diesem Ausgang des Verfahrens wären dem Beschwerdeführer an sich Kosten aufzuerlegen (Art. 63 Abs. 1 VwVG). Aus verwaltungsökonomischen Gründen respektive zufolge voraussichtlicher Uneinbringlichkeit der Kosten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