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D-4745/2014 vom 26. November 2014</w:t>
      </w:r>
    </w:p>
    <w:p>
      <w:r>
        <w:t>Bundesverwaltungsgericht, 2014-11-26, DE</w:t>
      </w:r>
    </w:p>
    <w:p>
      <w:r>
        <w:rPr>
          <w:b/>
        </w:rPr>
        <w:t xml:space="preserve">Quelle: </w:t>
      </w:r>
      <w:r>
        <w:t>https://mcp.opencaselaw.ch/entscheid/bvger_D-4745_2014</w:t>
      </w:r>
    </w:p>
    <w:p>
      <w:r>
        <w:t>FR: TAF D-4745/2014 du 26 novembre 2014</w:t>
      </w:r>
    </w:p>
    <w:p>
      <w:r>
        <w:t>IT: TAF D-4745/2014 del 26 novembre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zutrifft - bei Vorliegen eines Auslieferungsersuchens des Staates, vor welchem die beschwerdeführende Partei Schutz sucht (Art. 105 AsylG; Art. 83 Bst. c Ziff. 1 und Bst. d Ziff. 1 BGG).</w:t>
      </w:r>
    </w:p>
    <w:p>
      <w:r>
        <w:rPr>
          <w:b/>
        </w:rPr>
        <w:t>E. 1.2</w:t>
      </w:r>
    </w:p>
    <w:p>
      <w:r>
        <w:t>Die Beschwerde ist nicht in einer Amtssprache des Bundes abge­fasst. Auf die Ansetzung einer Frist zur Beschwerdeverbesserung kann indessen praxisgemäss verzichtet werden, da der in Englisch verfassten Beschwerdeeingabe genügend klare, sinngemässe Rechtsbegehren und deren Begründung zu entnehmen sind und ohne Weiteres darüber befun­den werden kann.</w:t>
      </w:r>
    </w:p>
    <w:p>
      <w:r>
        <w:rPr>
          <w:b/>
        </w:rPr>
        <w:t>E. 1.3</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 vom sprachlichen Mangel abgesehen - formgerecht einge­reichte Beschwerde ist einzutreten (Art. 108 Abs. 1 AsylG; Art. 105 AsylG i.V.m. Art. 37 VGG und Art. 48 Abs. 1 und Art. 52 Abs. 1 VwVG).</w:t>
      </w:r>
    </w:p>
    <w:p>
      <w:r>
        <w:rPr>
          <w:b/>
        </w:rPr>
        <w:t>E. 2</w:t>
      </w:r>
    </w:p>
    <w:p>
      <w:r>
        <w:t>Mit Beschwerde kann die Verletzung von Bundesrecht und die unrichtige oder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(Art. 111a Abs. 2 AsylG).</w:t>
      </w:r>
    </w:p>
    <w:p>
      <w:r>
        <w:rPr>
          <w:b/>
        </w:rPr>
        <w:t>E. 4</w:t>
      </w:r>
    </w:p>
    <w:p>
      <w:r>
        <w:t>Gestützt auf Art. 111a Abs. 1 AsylG wurde auf die Durchführung eines Schriftenwechsels verzichtet.</w:t>
      </w:r>
    </w:p>
    <w:p>
      <w:r>
        <w:rPr>
          <w:b/>
        </w:rPr>
        <w:t>E. 5</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Auslandverfahren anzuwenden.</w:t>
      </w:r>
    </w:p>
    <w:p>
      <w:r>
        <w:rPr>
          <w:b/>
        </w:rPr>
        <w:t>E. 6.1</w:t>
      </w:r>
    </w:p>
    <w:p>
      <w:r>
        <w:t>Wird ein Asylgesuch im Ausland bei einer schweizerischen Vertretung gestellt, so führt diese mit der asylsuchenden Person in der Regel eine Befragung durch und überweist das Gesuch anschliessend an das BFM (vgl. dazu alt Art. 19 und Art. 20 Abs. 1 AsylG sowie alt Art. 10 Abs. 1 der Asylverordnung 1 vom 11. August 1999 über Verfahrensfragen [AsylV 1, SR 142.311]). Ist die Durchführung einer Befragung nicht möglich, so wird die asylsuchende Person von der Vertretung aufgefordert, ihre Asylgründe schriftlich festzuhalten (alt Art. 10 Abs. 2 AsylV 1).</w:t>
      </w:r>
    </w:p>
    <w:p>
      <w:r>
        <w:rPr>
          <w:b/>
        </w:rPr>
        <w:t>E. 6.2</w:t>
      </w:r>
    </w:p>
    <w:p>
      <w:r>
        <w:t>Nach alt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6.3</w:t>
      </w:r>
    </w:p>
    <w:p>
      <w:r>
        <w:t>Vorliegend wurde auf eine Befragung durch die Botschaft mangels entsprechender Kapazitäten der schweizerischen Botschaft in Khartum verzichtet und der Beschwerdeführerin - zwecks Wahrung des rechtlichen Gehörs - ein schriftlicher Fragekatalog zugestellt. Vor dem Hintergrund der massgeblichen Praxis zur Behandlung von Asylgesuchen aus dem Ausland und Einreisebewilligung sowie unter Berücksichtigung der Aktenlage ist festzustellen, dass im vorliegenden Verfahren auf eine Befragung verzichtet werden durfte und mit der Einladung zur Stellungnahme den massgeblichen verfahrensrechtlichen Anforderungen Genüge getan wurde (vgl. dazu BVGE 2007/30, insbes. E. 5.6 f.).</w:t>
      </w:r>
    </w:p>
    <w:p>
      <w:r>
        <w:rPr>
          <w:b/>
        </w:rPr>
        <w:t>E. 6.4</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6.5</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w:t>
      </w:r>
    </w:p>
    <w:p>
      <w:r>
        <w:rPr>
          <w:b/>
        </w:rPr>
        <w:t>E. 6.6</w:t>
      </w:r>
    </w:p>
    <w:p>
      <w:r>
        <w:t>Ob die Beschwerdeführerin im Zeitpunkt ihrer (illegalen) Ausreise be­gründete Furcht vor künftiger Verfolgung hatte, bedarf vorliegend nicht abschliessender Beurteilung. Aus nachfolgenden Gründen ist es nämlich der Beschwerdeführerin jedenfalls zuzumuten, sich weiter im Sudan aufzuhalten, wo sie bisher hinreichenden Schutz erhalten hat. Die Beschwerdeführerin hält sich nach eigenen Angaben bereits seit mehr als fünf Jahren in D.________ auf, was den Schluss zulässt, dass die dortigen Schwierigkeiten nicht unüber­windbar sind. Im Weiteren ist festzuhalten, dass die Beschwerdeführerin, sollte sie sich an ihrem derzeitigen Aufenthaltsort nicht mehr hinreichend sicher fühlen und sich die dortige sonstige Lebenssituation verschlechtern, über die Möglichkeit verfügt, sich zusammen mit ihrer Tochter beim UNHCR zu melden und in dem ihnen zugewiesenen Camp zu leben. Gemäss gesicherten Erkenntnissen ist das Risiko einer Deportation oder Verschleppung für Eritreer, die im Sudan vom UNHCR als Flüchtlinge anerkannt sind, gering (vgl. statt vieler Urteil E-4417/2011 vom 9. Feb­ruar 2012 E. 6.5.3). Dem Bericht der Schweizerischen Flüchtlingshilfe (SFH) vom 5. Juli 2012 zufolge, der die Gefahr von Deportationen, Entführungen und Lösegelderpressungen von eritreischen Flüchtlingen im Sudan thematisiert und auf die schwierige Situation hinweist, kann ausserdem entnommen werden, dass insbesondere das UNHCR, die International Organisation for Migration (IOM) und die sudanesischen Behörden bestrebt sind, die Situation zu verbessern. Gleiches gilt für Bestrebungen hinsichtlich der Sicherheit in den Flüchtlingscamps (vgl. dazu insbesondere die Mitteilung des UNHCR vom 25. Januar 2013; "UNHCR concern at refugee kidnappings, dis­appearences in eastern Sudan"). Ferner weist die Beschwerdeführerin auch kein Profil auf, welches sie mit erheblicher Wahrscheinlichkeit zum Ziel eines Entführungsversuches machen würde. Hinsichtlich der Gefahr, in Khartum aufgrund ihres christlichen Glaubens benachteiligt zu werden, ist festzuhalten, dass Christen im Sudan trotz offizieller Anerkennung ihrer Religion offenbar immer stärker unter Druck geraten. Seit der Ausrufung eines unabhängigen multireligiösen Staates Südsudan im Juli 2011 verstärkt die Regierung in Khartum die Islamisierung des Nordens. Indessen findet auch im heutigen Zeitpunkt keine Gruppenver­folgung von Christen im Sudan statt. Zwar können vereinzelte Diskriminierungen - vor allem in den mehrheitlich von Muslimen bewohnten Regionen - nicht ausgeschlossen werden, diesen könnte sich die Beschwerdeführerin jedoch durch die Aufnahme in ein Flüchtlingscamp entziehen. An dieser Einschätzung vermögen die Argumente in der Beschwerde, welche sich in einer Wiederholung der bereits im Rahmen des vorinstanzlichen Verfahrens geltend gemachten Vorbringen, allgemeinen Ausführun­gen und blossen Behauptungen erschöpfen, nichts zu ändern.</w:t>
      </w:r>
    </w:p>
    <w:p>
      <w:r>
        <w:rPr>
          <w:b/>
        </w:rPr>
        <w:t>E. 6.7</w:t>
      </w:r>
    </w:p>
    <w:p>
      <w:r>
        <w:t>Zusammenfassend ist festzuhalten, dass vorliegend keine konkreten Hinweise dafür bestehen, die Beschwerdeführerin sei gegenwärtig einer Gefährdung ausgesetzt oder hätte eine unmittelbar drohende Deportation nach Eritrea oder eine Entführung durch terroristische Gruppen zu befürchten. Schliesslich ist festzustellen, dass die Beschwerdeführerin in der Schweiz über keine nahen Verwandten verfügt.</w:t>
      </w:r>
    </w:p>
    <w:p>
      <w:r>
        <w:rPr>
          <w:b/>
        </w:rPr>
        <w:t>E. 7</w:t>
      </w:r>
    </w:p>
    <w:p>
      <w:r>
        <w:t>Die Beschwerdeführerin vermochte insgesamt nicht aufzuzeigen, dass sie auf die Schutzgewährung durch die Schweiz angewiesen ist beziehungsweise ihr gerade die Schweiz den erforderlichen Schutz gewähren muss. Der weitere Verbleib im Sudan ist ihr nach dem Gesagten zuzumuten und die Vorinstanz hat ihr zu Recht die Einreise in die Schweiz verweigert und deren Asylgesuch abgelehnt. 8.Aus diesen Erwägungen ergibt sich, dass die angefochtene Verfügung Bundesrecht nicht verletzt und den rechtserheblichen Sachverhalt richtig sowie vollständig feststellt (Art. 106 Abs. 1 AsylG). Die Beschwerde ist nach dem Gesagten abzuweisen. 9.Bei diesem Ausgang des Verfahrens wären die Kosten grundsätzlich der Beschwerdeführerin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