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D-4743/2009 vom 22. März 2011</w:t>
      </w:r>
    </w:p>
    <w:p>
      <w:r>
        <w:t>Bundesverwaltungsgericht, 2011-03-22, DE</w:t>
      </w:r>
    </w:p>
    <w:p>
      <w:r>
        <w:rPr>
          <w:b/>
        </w:rPr>
        <w:t xml:space="preserve">Quelle: </w:t>
      </w:r>
      <w:r>
        <w:t>https://mcp.opencaselaw.ch/entscheid/bvger_D-4743_2009</w:t>
      </w:r>
    </w:p>
    <w:p>
      <w:r>
        <w:t>FR: TAF D-4743/2009 du 22 mars 2011</w:t>
      </w:r>
    </w:p>
    <w:p>
      <w:r>
        <w:t>IT: TAF D-4743/2009 del 22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Die Vorinstanz hat in ausführlichen Erwägen dargelegt, weshalb sie die dargelegte Verfolgung des Beschwerdeführers für unglaubhaft erach­tet. Dabei erwog sie unter anderem auch, das beigebrachte Dokument _______ vom 11. Oktober 2008 sei in inhaltli­cher und formaler Hinsicht mit Mängeln behaftet, weshalb ihm kein hinrei­chender Beweiswert zukomme. Die diesbezüglichen Argumente vermö­gen zu überzeugen. Der Sachverhalt erschien für die Vorinstanz mithin zu­recht als hinreichend erstellt, weshalb sich weitere Abklärungen erübrig­ten. Der angefochtenen Verfügung kann ferner nicht entnommen wer­den, dass die Vorinstanz bei der Glaubhaftigkeitsprüfung von einem fal­schen Massstab ausgegangen wäre. Entsprechend erweist sich auch diese Rüge als unbegründet.</w:t>
      </w:r>
    </w:p>
    <w:p>
      <w:r>
        <w:rPr>
          <w:b/>
        </w:rPr>
        <w:t>E. 4</w:t>
      </w:r>
    </w:p>
    <w:p>
      <w:r>
        <w:t>Das BFM hat die Verfolgungsvorbringen des Beschwerdeführers für un­glaubhaft erachtet. Diese Einschätzung basiert auf nachvollziehbaren Argu­menten, auf welche grundsätzlich verwiesen werden kann. In Anbet­racht gewisser Darlegungen zur Situation im _______werk kann zwar nicht aus­geschlossen werden, dass der Beschwerdeführer als Angestellter _______ tatsächlich an einer arbeitsrechtlichen Auseinander­setzung beteiligt war. Auch eine allfällige Abmahnung durch die Werksleitung oder eine andere staatliche Stelle erscheint nicht als ausgeschlossen. Die angebliche Führungsrolle in der arbeitsrechtli­chen Auseinandersetzung unter Einfluss der erwähnten Partei und verbun­den mit der polizeilichen Suche ist indes mit erheblichen Zweifeln be­lastet. Die Schilderung seiner Aktivitäten bei der angeblichen Mobilisie­rung von Mitarbeitenden und der Beteiligung an der Leitung der Proteste weisen nur bedingt Substanz und Realkennzeichen auf (A 11/25 Antwor­ten 86 ff.). Ausserdem hatte er Mühe, die Ereignisse in zeitlicher Hinsicht ge­nau festzulegen (A 11/25 Antworten 116 ff.). Überdies gab er an, im Iran wenig Kontakt zu seiner Partei gehabt zu haben (A 11/25 Antwort 143). Die bereits bei der Summarbefragung stereotyp anmutenden und in der Anhörung wiederholten Schilderungen, bei der Leitung des Widerstan­des für die Entscheidfindung wiederholt Parteimitglieder _______ kontaktiert zu haben (A 1/9 S. 4 f.; A 11/25 Antwort 74), sind demnach zu bezweifeln. Im Übrigen wird er im eingereichten Parteischreiben vom 11. Oktober 2008 als bereits im Iran aktives Mitglied bezeichnet. Demgegenüber brachte er bei der Anhörung zuerst vor, im Iran lediglich Sympathisant der Bewegung gewesen zu sein. Auf Nachfragen vermittelte er demgegen­über wenig später den Eindruck, bereits im Iran mehr als ein blosser Sym­pathisant gewesen zu sein und sich um Flugblätter gekümmert zu ha­ben (A 11/25 Antworten 59 ff.). Dies steht im Widerspruch zur Summar­befragung, wo er sich klarerweise als Nicht-Mitglied und blossen Sympathi­santen deklarierte (vgl. A 1/9 S. 5). Die Zweifel an seiner Beteili­gung an der Führung eines Betriebsaufstands angeblich unter Einfluss ei­ner kommunistischen Partei werden so verstärkt. Im Zusammenhang mit der angeblichen Suche durch die Behörden erwähnte er bei der Anhö­rung, die Polizei habe seine ID-Karte beschlagnahmt. Wo sie sich aktuell be­finde, wisse er nicht (A 11/21 Antwort 29). In der Erstbefragung gab er je­doch zu Protokoll, das Dokument befinde sich zuhause (A 1/9 S. 4). Im Weiteren liess er das Dokument bereits _______ vor Ort durch ei­nen offiziellen Dolmetscher des iranischen Justizwesens übersetzen und sich in die Schweiz nachsenden - eine Vorgehensweise, die im Sinne der zutreffenden vorinstanzlichen Erwägung und entgegen den nicht stichhaltigen Beschwerdevorbringen wiederum gegen die angebli­che Verfolgungsgefahr spricht. Entgegen den Beschwerdevorbringen ist ausserdem nicht nachvollziehbar, weshalb er die angebliche zweite behördli­che Vorsprache zuhause nicht bereits bei der Erstbefragung er­wähnte. So hatte er bei dieser Befragung am Ende dargelegt, es gebe nichts mehr beizufügen (A 1/9 S. 5). Dasselbe trifft für die Bestrafung we­gen eines Sexualdelikts zu, zumal er dieses zwar nicht als ausreiserele­vant, aber gleichwohl wichtig für sein Asylgesuch bezeichnete (A 11/25 Ant­worten 218 f.). Auffallend ist ferner seine Einsilbigkeit im Zusammen­hang mit der angeblichen Suche, welche er bei der ausführlichen Darle­gung seiner Fluchtgründe nur ganz kurz erwähnte (A 11/25 Antwort 74). Im weiteren Verlauf der Anhörung war er auf Nachfragen kaum in der Lage, die angeblichen Umstände der Razzia angemessen zu substanziie­ren (A 11/25 Antworten 163 ff.). Dieser Mangel ist entgegen den Beschwer­devorbringen nicht mit dem blossen Hinweis auf unrechtmäs­sige Vorgänge vor Ort, welche Informationsbemühungen des Betroffenen als sinnlos erscheinen lassen würden, hinreichend erklärbar. Vielmehr ist da­von auszugehen, dass die angebliche behördliche Verfolgung in der gel­tend gemachten Form nicht den Tatsachen entspricht. Dies umso mehr, als die Vorinstanz in der Vernehmlassung erneut und zurecht dar­auf hinweist, das geäusserte mangelnde Interesse des Beschwerdefüh­rers an der aktuellen eigenen und der Situation seiner Mitstreiter vor Ort im Zusammenhang mit den geltend gemachten Ahndungsmassnahmen ent­spreche nicht der Verhaltensweise eines tatsächlich Verfolgten.</w:t>
      </w:r>
    </w:p>
    <w:p>
      <w:r>
        <w:rPr>
          <w:b/>
        </w:rPr>
        <w:t>E. 5</w:t>
      </w:r>
    </w:p>
    <w:p>
      <w:r>
        <w:t>Zusammenfassend ist festzuhalten, dass es dem Beschwerdefüh­rer nicht gelungen ist, eine im Zeitpunkt seiner Ausreise aus dem Iran bestehende oder unmittelbar drohende asylrelevante Verfolgungsge­fahr nachzuwei­sen oder glaubhaft zu machen.</w:t>
      </w:r>
    </w:p>
    <w:p>
      <w:r>
        <w:rPr>
          <w:b/>
        </w:rPr>
        <w:t>E. 6.1</w:t>
      </w:r>
    </w:p>
    <w:p>
      <w:r>
        <w:t>Im Folgenden ist zu prüfen, ob der Beschwerdeführer durch sein Ver­halten nach der Ausreise, das heisst durch sein geltend gemachtes exilpoliti­sches Engagement, eine zukünftige Verfolgung durch die irani­schen Behörden zu befürchten hat und aus diesem Grund die Flücht­lingsei­genschaft erfüllt.</w:t>
      </w:r>
    </w:p>
    <w:p>
      <w:r>
        <w:rPr>
          <w:b/>
        </w:rPr>
        <w:t>E. 6.2</w:t>
      </w:r>
    </w:p>
    <w:p>
      <w:r>
        <w:t>Subjektive Nachfluchtgründe sind gemäss Praxis dann anzunehmen, wenn eine asylsuchende Person erst durch die Flucht aus dem Heimat- oder Her­kunftsstaat oder wegen ihres Verhaltens nach der Ausreise eine Verfol­gung im Sinne von Art. 3 AsylG zu befürchten hat. Personen mit sub­jektiven Nachfluchtgründen erhalten zwar gemäss Art. 54 AsylG kein Asyl, werden jedoch als Flüchtlinge vorläufig aufgenommen. Massge­bend ist,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Der Asyl­ausschlussgrund von Art. 54 AsylG ist absolut zu verstehen und mithin unabhängig davon anzu­wenden, ob Nachfluchtgründe miss­bräuchlich gesetzt worden sind oder nicht. Es ist daher nicht entscheidend, welchen mutmassli­chen Zweck die asylsuchende Person durch ihre exilpoliti­schen Tätig­keiten zu er­reichen versucht hat.</w:t>
      </w:r>
    </w:p>
    <w:p>
      <w:r>
        <w:rPr>
          <w:b/>
        </w:rPr>
        <w:t>E. 6.3</w:t>
      </w:r>
    </w:p>
    <w:p>
      <w:r>
        <w:t>Vorab ist festzustellen, dass die politische Betätigung für staats­feindli­che Organisationen im Ausland seit der Neufassung des irani­schen Strafrechts im Jahr 1996 unter Strafe gestellt ist. Einschlägigen Berichten zufolge wurden in der Vergangenheit denn auch bereits Per­sonen verhaf­tet, angeklagt und verurteilt, welche sich unter anderem im Internet kri­tisch zum iranischen Staat äusserten (vgl. die Auskunft der SFH-Länderana­lyse vom 4. April 2006 ["Iran: Rückkehrgefährdung für AktivistIn­nen und Mitglieder exilpolitischer Organisationen - Infor­mationsge­winnung iranischer Behörden"] S. 3, mit weiteren Hinwei­sen). Es ist überdies allgemein bekannt und unbestritten, dass die ira­nischen Be­hörden die politischen Aktivitäten ihrer Staatsange­hörigen im Ausland überwachen und systematisch erfassen. Mittels Einsatz moderner Soft­ware dürfte es den iranischen Behörden auch ohne Wei­teres möglich sein, die im Internet vorhandenen riesi­gen Datenmen­gen ohne allzu gros­sen Aufwand gezielt und umfassend zu überwa­chen und gegebenenfalls nach Stichworten zu durchsuchen. In gene­reller Hinsicht ist ferner festzu­halten, dass nach konstanter Praxis bei iranischen Asylsuchenden das blosse Einreichen eines Asylgesu­ches keinen sub­jektiven Nachflucht­grund im Sinne von Art. 54 AsylG darstellt (vgl. BVGE 2009/28 E. 7.4.4). Demgegenüber bleibt im Einzelfall zu prüfen, ob die in der Schweiz entwi­ckelten exilpolitischen Aktivitäten bei einer allfälligen Aus­schaffung in den Iran mit überwiegender Wahrschein­lichkeit ernst­hafte Nachteile im asylrecht­lichen Sinne nach sich ziehen würden (vgl. wiederum BVGE 2009/28 E.7.4.3). Es ist dabei davon auszugehen, dass sich die irani­schen Geheimdienste auf die Erfassung von Personen konzentrieren, die über die massenty­pischen und niedrigprofilierten Erscheinungsformen exil­politischer Pro­teste hinaus Funktionen wahrgenommen und/oder Aktivi­täten entwi­ckelt haben, welche die jeweilige Person aus der Mas­se der mit dem Regime Unzufriedener herausheben und als ernst­haften und gefährli­chen Regimegegner erscheinen lassen. Somit sind die Mitglied­schaft in einer exilpolitischen Organisation, die Teilnahme an regimekriti­schen Demonstrationen und das hierbei übliche Tragen von Plakaten und Rufen von Parolen nicht für die Einschätzung einer Verfolgungsge­fahr von Bedeutung, sondern Positionen, Form und Einfluss von Aktio­nen (vgl. SFH-Bericht a.a.O. S. 7).</w:t>
      </w:r>
    </w:p>
    <w:p>
      <w:r>
        <w:rPr>
          <w:b/>
        </w:rPr>
        <w:t>E. 6.4</w:t>
      </w:r>
    </w:p>
    <w:p>
      <w:r>
        <w:t>Das vom Beschwerdeführer eingereichte Bestätigungsschreiben _______ vom 11. Oktober 2008 aus _______ ist gemäss den Erwägungen unter Ziff. 4 vorstehend mit inhaltlichen Mängeln behaftet. In formaler Hinsicht erwog die Vorinstanz zu Recht, dass es als blosse Kopie ohne Unterschrift ein leicht manipulierbares Doku­ment sei. Im Übrigen wird darin - in wie erwähnt nicht glaubhafter Weise - namentlich ein bereits im Iran erfolgtes Engagement des Beschwerdefüh­rers geltend gemacht. In Würdigung dieser Umstände ist es jedenfalls nicht geeignet, fundierte exilpolitische Aktivitäten des Be­schwerdeführers in der Schweiz zu belegen. Gemäss weiteren anlässlich der Anhörung einge­reichten Beweismitteln hat er in der Schweiz indes tat­sächlich an mehreren exilpolitischen Veranstaltungen _______ teilgenommen (A 11/25 Antworten 12 ff.). Fraglich ist hinge­gen, inwiefern er sich dabei allenfalls ex­poniert hat. Den Akten sind diesbezüglich kaum Anhaltspunkte zu entnehmen. Allein durch die dokumen­tierte Teilnahme an Veranstaltungen (Standaktionen und Kundgebungen) verbunden mit entsprechenden Bildaufnahmen und deren Veröffentli­chung im Internet ist jedenfalls noch nicht davon auszugehen, dass er das gesteigerte Interesse der iranischen Überwachungsbehörden auf sich gezogen haben könnte. Auch die allfällige Entgegennahme und Weiter­verbreitung von Flugblättern ändert noch nichts an dieser Einschätzung. Zwar soll er von der Schweiz aus auch in einer in _______ erscheinenden Publikation einen respektive mehrere Artikel unter seinem Namen und mit Foto veröffentlicht haben (A 11/25 Antworten 144 und 220). Seine Anga­ben wirken aber auch in diesem Zusammenhang sehr vage; überdies hat er keine Kopie des allenfalls veröffentlichten Artikels beigebracht. Die be­sagten (allfälligen) Aktivitäten erscheinen mithin nicht als geeignet, ihm ein markantes politisches Profil zu verleihen. Im Weiteren ist gemäss den Erwägungen im Asylpunkt nicht davon auszu­gehen, dass er bereits vor der Ausreise die Aufmerksamkeit der irani­schen Behörden in relevantem Ausmass auf sich gezogen hat. Vor diesem Hintergrund rechtfertigt sich der Schluss, dass er vor seiner Absetzung in den Westen durch die irani­schen Be­hörden jedenfalls nicht als staatsgefährdender Politaktivist fi­chiert war. Seine exilpolitischen Aktivitäten können denn auch insofern mit derjenigen einer Vielzahl seiner Landsleute in Über­ein­stimmung ge­bracht werden, als sich diese nach dem Gesagten kaum von denen ande­rer Iraner abheben. Es ist entgegen den Beschwerdevorbringen daher nicht davon auszugehen, dass die irani­schen Behörden beim Beschwerde­führer von einer Bedrohung für das Regime ausgehen wür­den. Die durch den Beschwerdeführer öffent­lich vorgetragene Kritik am Re­gime weist demnach insge­samt nicht den nötigen Exponierungsgrad auf, um bei den iranischen Behörden den Eindruck zu erwecken, dass sie zu ei­ner Gefahr für den Bestand ihres Regimes werde. Zudem weist nichts darauf hin, dass in seinem Heimatstaat ein Strafverfahren oder an­dere behördliche Massnahmen eingeleitet worden wären. Einzuräumen ist, dass solche wohl nur schwer zu belegen wären. Entsprechende Massnah­men scheinen indes auch im Falle der Rückkehr nicht überwie­gend wahr­scheinlich.</w:t>
      </w:r>
    </w:p>
    <w:p>
      <w:r>
        <w:rPr>
          <w:b/>
        </w:rPr>
        <w:t>E. 6.5</w:t>
      </w:r>
    </w:p>
    <w:p>
      <w:r>
        <w:t>Zusammenfassend ist festzustellen, dass auch die geltend gemach­ten subjektiven Nachfluchtgründe nicht geeignet sind, eine flüchtlings­recht­lich relevante Verfolgungsfurcht zu begründen. An dieser Einschät­zung vermögen weder die weiteren Ausführungen in der Ein­gabe noch die beigelegten Beweismittel etwas zu ändern.</w:t>
      </w:r>
    </w:p>
    <w:p>
      <w:r>
        <w:rPr>
          <w:b/>
        </w:rPr>
        <w:t>E. 6.6</w:t>
      </w:r>
    </w:p>
    <w:p>
      <w:r>
        <w:t>Unter Berücksichtigung der gesamten Umstände folgt, dass der Be­schwerdeführer keine Gründe nach Art. 3 AsylG nachweisen oder glaub­haft machen konnte. Die Vorinstanz hat die Flüchtlingseigen­schaft dem­nach zu Recht verneint und das Asylgesuch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8.3.1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Iran ist demnach unter dem Aspekt von Art. 5 AsylG rechtmäs­sig.</w:t>
      </w:r>
    </w:p>
    <w:p>
      <w:r>
        <w:rPr>
          <w:b/>
        </w:rPr>
        <w:t>E. 8.3.4</w:t>
      </w:r>
    </w:p>
    <w:p>
      <w:r>
        <w:t>Sodann ergeben sich weder aus den Aussagen des Beschwerde­füh­rers noch aus den Akten Anhaltspunkte dafür, dass er für den Fall ei­ner Ausschaffung in den Iran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124 -127, mit weiteren Hinweisen). Dies ist ihm unter Hin­weis auf die Erwägungen zum Flüchtlingspunkt jedoch nicht gelungen. Auch die allgemeine Men­schenrechts­situa­tion im Heimatstaat lässt den Wegweisungsvollzug zum heutigen Zeitpunkt nicht als generell unzuläs­sig erscheinen. Nach dem Gesagten ist der Vollzug der Wegweisung so­wohl im Sinne der asyl- als auch der völ­kerrechtlichen Bestimmungen zuläs­sig.</w:t>
      </w:r>
    </w:p>
    <w:p>
      <w:r>
        <w:rPr>
          <w:b/>
        </w:rPr>
        <w:t>E. 8.4.1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8.4.2</w:t>
      </w:r>
    </w:p>
    <w:p>
      <w:r>
        <w:t>Im Iran besteht keine Situation generalisierter Gewalt, die sich noch dazu über das ganze Staatsgebiet oder weite Teile desselben erstrecken würde. Eine gänzlich unsichere, von bewaffneten Konflikten oder perma­nent drohenden Unruhen dominierte Lage, aufgrund derer der Beschwerde­führer sich bei einer Rückkehr unvermeidlich einer konkreten Gefährdung ausgesetzt sehen würde, besteht mithin nicht.</w:t>
      </w:r>
    </w:p>
    <w:p>
      <w:r>
        <w:rPr>
          <w:b/>
        </w:rPr>
        <w:t>E. 8.4.3</w:t>
      </w:r>
    </w:p>
    <w:p>
      <w:r>
        <w:t>Der noch junge Beschwerdeführer hat vor der Ausreise in _______ gelebt und gearbeitet. Seine Angehörigen sollen sich nach wie vor dort auf­halten (A 1/9 S. 2 f.). Es sollte ihm somit möglich sein, im Iran wieder eine Existenz aufzubauen.</w:t>
      </w:r>
    </w:p>
    <w:p>
      <w:r>
        <w:rPr>
          <w:b/>
        </w:rPr>
        <w:t>E. 8.4.4</w:t>
      </w:r>
    </w:p>
    <w:p>
      <w:r>
        <w:t>Nach dem Gesagten erweist sich der Vollzug der Wegweisung auch als zu­mutbar.</w:t>
      </w:r>
    </w:p>
    <w:p>
      <w:r>
        <w:rPr>
          <w:b/>
        </w:rPr>
        <w:t>E. 8.5</w:t>
      </w:r>
    </w:p>
    <w:p>
      <w:r>
        <w:t>Schliesslich obliegt es dem Beschwerdeführer, sich bei der zuständi­gen Vertretung des Heimatstaates die für eine Rückkehr allen­falls noch notwendigen Reisedokumente zu beschaffen (vgl. Art. 8 Abs. 4 AsylG und dazu auch BVGE 2008/34 E. 12 S. 513 - 515), weshalb der Voll­zug der Wegweisung auch als möglich zu bezeichnen ist (Art. 83 Abs. 2 AuG).</w:t>
      </w:r>
    </w:p>
    <w:p>
      <w:r>
        <w:rPr>
          <w:b/>
        </w:rPr>
        <w:t>E. 9</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