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D-4742/2016 vom 20. Juli 2017</w:t>
      </w:r>
    </w:p>
    <w:p>
      <w:r>
        <w:t>Bundesverwaltungsgericht, 2017-07-20, DE</w:t>
      </w:r>
    </w:p>
    <w:p>
      <w:r>
        <w:rPr>
          <w:b/>
        </w:rPr>
        <w:t xml:space="preserve">Quelle: </w:t>
      </w:r>
      <w:r>
        <w:t>https://mcp.opencaselaw.ch/entscheid/bvger_D-4742_2016</w:t>
      </w:r>
    </w:p>
    <w:p>
      <w:r>
        <w:t>FR: TAF D-4742/2016 du 20 juillet 2017</w:t>
      </w:r>
    </w:p>
    <w:p>
      <w:r>
        <w:t>IT: TAF D-4742/2016 del 20 luglio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3</w:t>
      </w:r>
    </w:p>
    <w:p>
      <w:r>
        <w:t>Gestützt auf Art. 111a Abs. 1 AsylG wurde vorliegend auf die Durchführung eines Schriftenwechsels verzichtet.</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5.3</w:t>
      </w:r>
    </w:p>
    <w:p>
      <w:r>
        <w:t>Der nach dieser Verordnung zuständige Mitgliedstaat ist verpflichtet, einen Antragsteller, der während der Prüfung seines Antrags in einem anderen Mitgliedstaat einen Antrag stellt, nach Massgabe der Art. 21, 22 und 29 Dublin-III-VO aufzunehmen (Art. 18 Abs. 1 Bst. a Dublin-III-VO).</w:t>
      </w:r>
    </w:p>
    <w:p>
      <w:r>
        <w:rPr>
          <w:b/>
        </w:rPr>
        <w:t>E. 5.4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6.1</w:t>
      </w:r>
    </w:p>
    <w:p>
      <w:r>
        <w:t>Das Bundesverwaltungsgericht hat im Urteil D-7853/2015 vom 31. Mai 2017 (als Referenzurteil publiziert)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E. 13).</w:t>
      </w:r>
    </w:p>
    <w:p>
      <w:r>
        <w:rPr>
          <w:b/>
        </w:rPr>
        <w:t>E. 6.2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7</w:t>
      </w:r>
    </w:p>
    <w:p>
      <w:r>
        <w:t>Die Beschwerde ist nach dem Gesagten gutzuheissen, soweit die Aufhebung der vorinstanzlichen Verfügung und Rückweisung der Sache beantragt wird. Angesichts der Beschwerdegutheissung erübrigt es sich, auf die weiteren Beschwerdevorbringen näher einzugehen.</w:t>
      </w:r>
    </w:p>
    <w:p>
      <w:r>
        <w:rPr>
          <w:b/>
        </w:rPr>
        <w:t>E. 8</w:t>
      </w:r>
    </w:p>
    <w:p>
      <w:r>
        <w:t>Bei diesem Ausgang des Verfahrens sind keine Kosten zu erheben (Art. 63 Abs. 1 und 2 VwVG).</w:t>
      </w:r>
    </w:p>
    <w:p>
      <w:r>
        <w:rPr>
          <w:b/>
        </w:rPr>
        <w:t>E. 9</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hat in der Beschwerdeschrift vom 3. August 2016 einen zeitlichen Aufwand von insgesamt 3 Stunden und ein Gesamtbetrag von Fr. 636.- geltend gemacht. Gestützt auf die in Betracht zu ziehenden Bemessungsfaktoren (Art. 9-13 VGKE) und unter Berücksichtigung des Umstandes, dass die Beschwerdeschrift neben standardisierten kaum individualisierte Ausführungen enthält, ist dem Beschwerdeführer zu Lasten des SEM eine Parteientschädigung von insgesamt Fr. 500.-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