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D-4742/2015 vom 15. September 2015</w:t>
      </w:r>
    </w:p>
    <w:p>
      <w:r>
        <w:t>Bundesverwaltungsgericht, 2015-09-15, DE</w:t>
      </w:r>
    </w:p>
    <w:p>
      <w:r>
        <w:rPr>
          <w:b/>
        </w:rPr>
        <w:t xml:space="preserve">Quelle: </w:t>
      </w:r>
      <w:r>
        <w:t>https://mcp.opencaselaw.ch/entscheid/bvger_D-4742_2015</w:t>
      </w:r>
    </w:p>
    <w:p>
      <w:r>
        <w:t>FR: TAF D-4742/2015 du 15 septembre 2015</w:t>
      </w:r>
    </w:p>
    <w:p>
      <w:r>
        <w:t>IT: TAF D-4742/2015 del 15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In seiner Beschwerde macht der Beschwerdeführer im Wesentlichen geltend, aufgrund der nur unzureichend verfügbaren Informationen zu Verfolgungsmassnahmen gegenüber TNA-Unterstützern sei festzuhalten, dass der vorliegende Sachverhalt nur ungenügend überprüft werden könne. Daraus dürfe jedoch nicht der Schluss gezogen werden, dass die Vorbringen unglaubhaft seien. So etwa habe es die Vorinstanz als unrealistisch qualifiziert, dass der Beschwerdeführer bei seiner Reise nach Colombo unbehelligt den lokalen Kontrollposten in O._______ habe passieren können, nachdem er die eigene Identitätskarte vorgelegt habe. Indessen habe sich der Beschwerdeführer noch in derselben Nacht auf den Weg nach Colombo gemacht, und es gebe immer wieder Lücken in der Informationsübertragung, weshalb es gut möglich sei, dass die an dem besagten Kontrollposten anwesenden Militärangehörigen noch nicht informiert gewesen seien. Dementsprechend vermöge die Argumentation der Vorinstanz nicht zu überzeugen. Ein weiterer Punkt betreffe die Ausreise aus Sri Lanka. Da der Beschwerdeführer mit Hilfe eines Schleppers ausgereist sei und dieser die notwendigen Papiere besorgt habe, die sich während der Reise im Besitz des Schleppers befunden hätten, gehe der Beschwerdeführer davon aus, dass er mit einem gefälschten Reisepass ausgereist sei. Diese Aussage habe er bereits anlässlich der BzP gemacht. Die Vorinstanz sei in diesem Punkt zu berichtigen, da sie irrtümlicherweise davon ausgegangen sei, der Beschwerdeführer sei legal ausgereist.Das Bundesverwaltungsgericht habe im Grundsatzurteil BVGE 2011/24 verschiedene Risikogruppen definiert. So würden insbesondere Personen, die auch nach Beendigung des Bürgerkriegs verdächtigt werden, mit den LTTE in Verbindung zu stehen oder gestanden zu haben, einer erhöhten Verfolgungsgefahr unterliegen. Rückkehrende Personen würden am Flughafen von mehreren Instanzen verhört und überprüft. Mittels elektronischer Datenbanken werde kontrolliert, ob sie auf einer Liste mit gesuchten Personen vermerkt seien. Es werde zudem überprüft, ob eine Person das Land illegal verlassen habe. Sofern die Behörden von einer Verletzung der Ausreisebestimmungen ausgingen, werde die Person inhaftiert. Es müsse damit gerechnet werden, dass der Beschwerdeführer bei seiner Rückkehr inhaftiert und wegen der illegalen Ausreise verurteilt werde. Ausserdem hätten alle tamilischen Rückkehrer mit ständiger Überwachung und Verhören zu rechnen. Da sich sein Vater regelmässig habe verstecken müssen und er selber nach seiner Ausreise mehrmals zu Hause gesucht worden sei, erfülle er die Flüchtlingseigenschaft, und es sei ihm Asyl zu gewähren.</w:t>
      </w:r>
    </w:p>
    <w:p>
      <w:r>
        <w:rPr>
          <w:b/>
        </w:rPr>
        <w:t>E. 4.2</w:t>
      </w:r>
    </w:p>
    <w:p>
      <w:r>
        <w:t>Diese Vorbringen in der Beschwerdeschrift vermögen nicht zu einer veränderten Betrachtungsweise zu führen, zumal mangels Plausibilität weiterhin nicht anzunehmen ist, die sri-lankischen Behörden seien an der Verfolgung von Personen interessiert, die eine legale Partei wie die TNA unterstützen. Da es dem Beschwerdeführer im Übrigen nicht einmal gelungen ist, sein angebliches Engagement für diese Partei glaubhaft zu machen, ist erst recht nicht einzusehen, weshalb die sri-lankischen Behörden ein Interesse an seiner Verfolgung haben sollten. Zur Vermeidung von Wiederholungen kann in diesem Zusammenhang auf die zutreffenden Erwägungen in der angefochtenen Verfügung verwiesen werden. Darüber hinaus gibt es schon aufgrund der Akten zuverlässige Indizien für das fehlende Verfolgungsinteresse der sri-lankischen Behörden. So sollen sie den Beschwerdeführer auf seiner Fahrt nach Colombo kontrolliert haben. Bei dieser Gelegenheit habe er seine nationale Identitätskarte vorgelegt, doch habe es keinerlei Probleme gegeben (A10/23 F161 - F168 S. 17/8). Die vom Beschwerdeführer hiefür vorgebrachte Erklärung, er sei zu Hause gesucht worden, doch habe er diesen Ort noch in derselben Nacht verlassen, vermag nicht zu überzeugen, zumal nicht anzunehmen ist, der Beschwerdeführer wäre diesfalls erst Stunden nach dieser Aktion zur Fahndung ausgeschrieben worden. Zudem machte der Beschwerdeführer anlässlich der BzP - im Unterschied zur nachgeschobenen Version seiner Rechtsvertreterin - ausdrücklich geltend, er sei am 18. August 2014, d.h. mehrere Wochen später, mit seinem eigenen Reisepass von Colombo aus auf dem Luftweg ausgereist (A3/11 Ziff. 5.02 S. 6). Derlei wäre ausgeschlossen gewesen, wenn er zur Fahndung ausgeschrieben gewesen wäre. Im Übrigen hätte er zumindest in der Lage sein müssen, den - folgte man den Ausführungen in der Beschwerdeschrift - für den Flug benutzten gefälschten Reisepass den schweizerischen Behörden zu übergeben, zumal er zu keinem Zeitpunkt davon gesprochen hat, er habe dem Schlepper zwei Reisepässe abgeben müssen (a.a.O. Ziff. 4.02 S. 5). Schliesslich bedarf niemand eines Schleppers, um einen Flug zu absolvieren oder einen Reisepass vorzuweisen, weshalb seine Vorbringen zum Reiseweg einen wirklichkeitsfremden Eindruck hinterlassen.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w:t>
      </w:r>
    </w:p>
    <w:p>
      <w:r>
        <w:rPr>
          <w:b/>
        </w:rPr>
        <w:t>E. 4.3</w:t>
      </w:r>
    </w:p>
    <w:p>
      <w:r>
        <w:t>Auf die verschiedenen Beweismittel (siehe oben Bst. A.b) ist nicht weiter einzugehen, weil sie nicht geeignet sind, eine Gefährdung im konkreten Fall darzutun. Zur Vermeidung von Wiederholungen kann an dieser Stelle auf die einlässlichen Erwägungen in der angefochtenen Verfügung verwiesen werden, dies umso mehr, als die Vorinstanz zutreffend erwogen hat, dass der Beschwerdeführer bei der Rückkehr - trotz Zugehörigkeit zur tamilischen Ethnie, Landesabwesenheit und Herkunft - keine begründete Furcht habe, staatlichen Verfolgungsmassnahmen ausgesetzt zu werden. Wohl trifft zu, dass unter Umständen selbst ein bloss vermeintlicher Kontakt zu früheren LTTE-Kämpfern genügen kann, um auf eine Verfolgungsgefahr zu schliessen (vgl. BVGE 2011/24 E. 8.4). Ein solcher Schluss muss sich aber auf eine Tatsachenbasis stützen können, die zumindest glaubhaft gemacht ist. Derlei ist dem Beschwerdeführer vorliegend nicht gelungen. Da die Vorinstanz den Sachverhalt zudem rechtsgenüglich abgeklärt hat, erübrigt es sich, die angefochtene Verfügung zu kassieren und zu neuem Entscheid zurückzuweisen.</w:t>
      </w:r>
    </w:p>
    <w:p>
      <w:r>
        <w:rPr>
          <w:b/>
        </w:rPr>
        <w:t>E. 4.4</w:t>
      </w:r>
    </w:p>
    <w:p>
      <w:r>
        <w:t>Zusammenfassend ist festzustellen, dass es dem Beschwerdeführer nicht gelungen ist, asylrechtlich relevante Verfolgungsgründe im Sinne von Art. 3 und 7 AsylG glaubhaft zu machen, weshalb die Vorinstanz zu Recht die Flüchtlingseigenschaft verneint und das Asylgesuch abgelehnt hat.</w:t>
      </w:r>
    </w:p>
    <w:p>
      <w:r>
        <w:rPr>
          <w:b/>
        </w:rPr>
        <w:t>E. 5</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zu jenem Zeitpunkt war der Beschwerdeführer im Übrigen noch keine 15 Jahre alt. Auf eine Beurteilung der Situation und der Zumutbarkeit in Bezug auf das Vanni-Gebiet kann hier verzichtet werden, stammt der Beschwerdeführer doch aus Jaffna (zur Problematik Vanni-Gebiet und Zumutbarkeit der Wegweisung: BVGE 2011/24 E. 12-13). Er kann sich ohne Weiteres in Jaffna bzw. N._______ niederlassen. Im Übrigen handelt es sich beim Beschwerdeführer um einen jungen Mann in bestem Arbeitsalter mit guter Schulbildung, einem Beziehungsnetz in Sri Lanka und einer Familie vor Ort (Eltern sowie drei Brüder, alle wohnhaft in N.______, darüber hinaus zwei Onkel und mehrere Tanten). Der Vollzug der Wegweisung erweist sich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Art. 49 VwVG). Die Beschwerde ist abzuweisen.</w:t>
      </w:r>
    </w:p>
    <w:p>
      <w:r>
        <w:rPr>
          <w:b/>
        </w:rPr>
        <w:t>E. 8.1</w:t>
      </w:r>
    </w:p>
    <w:p>
      <w:r>
        <w:t>Bei diesem Ausgang des Verfahrens sind die Kosten von Fr. 600.- (Art. 1-3 des Reglements vom 21. Februar 2008 über die Kosten und Entschädigungen vor dem Bundesverwaltungsgericht [VGKE], SR 173.320.2) dem Beschwerdeführer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