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D-472/2010 vom 25. August 2010</w:t>
      </w:r>
    </w:p>
    <w:p>
      <w:r>
        <w:t>Bundesverwaltungsgericht, 2010-08-25, DE</w:t>
      </w:r>
    </w:p>
    <w:p>
      <w:r>
        <w:rPr>
          <w:b/>
        </w:rPr>
        <w:t xml:space="preserve">Quelle: </w:t>
      </w:r>
      <w:r>
        <w:t>https://mcp.opencaselaw.ch/entscheid/bvger_D-472_2010</w:t>
      </w:r>
    </w:p>
    <w:p>
      <w:r>
        <w:t>FR: TAF D-472/2010 du 25 août 2010</w:t>
      </w:r>
    </w:p>
    <w:p>
      <w:r>
        <w:t>IT: TAF D-472/2010 del 25 agosto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w:t>
      </w:r>
    </w:p>
    <w:p>
      <w:r>
        <w:rPr>
          <w:b/>
        </w:rPr>
        <w:t>E. 3.2</w:t>
      </w:r>
    </w:p>
    <w:p>
      <w:r>
        <w:t>Vorliegend wurde der Beschwerdeführer in der schweizerischen Vertretung in Ankara am 2. Oktober 2009 zu seinem Ersuchen angehört, womit den verfahrensrechtlichen Anforderungen Genüge getan wurde (vgl. auch Entscheide des Schweizerischen Bundesverwaltungsgerichts [BVGE] 2007/30 E. 5.5).</w:t>
      </w:r>
    </w:p>
    <w:p>
      <w:r>
        <w:rPr>
          <w:b/>
        </w:rPr>
        <w:t>E. 4.1</w:t>
      </w:r>
    </w:p>
    <w:p>
      <w:r>
        <w:t>Bei Einreichung eines Asylgesuchs im als Verfolgerstaat bezeichneten Land kann das BFM gemäss Art. 20 Abs. 2 AsylG dem Asylsuchenden die Einreise in die Schweiz zur Abklärung des Sachverhalts bewilligen, wenn ihm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dem Asylsuchenden zugemutet werden kann, sich in einem Drittstaat um Aufnahme zu bemühen (Art. 52 Abs. 2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5</w:t>
      </w:r>
    </w:p>
    <w:p>
      <w:r>
        <w:t>Im Folgenden ist somit zu prüfen, ob das BFM zu Recht eine unmittelbare Gefahr im Sinne von Art. 20 Abs. 3 AsylG verneint und dem Beschwerdeführer die Einreise in die Schweiz verweigert hat.</w:t>
      </w:r>
    </w:p>
    <w:p>
      <w:r>
        <w:rPr>
          <w:b/>
        </w:rPr>
        <w:t>E. 5.1</w:t>
      </w:r>
    </w:p>
    <w:p>
      <w:r>
        <w:t>Nach Prüfung der Akten kommt das Bundesverwaltungsgericht zum Schluss, dass die entsprechenden Ausführungen des BFM in der angefochtenen Verfügung im Ergebnis zutreffend sind, weshalb zur Vermeidung von Wiederholungen vorab auf diese verwiesen werden kann. Die vom Beschwerdeführer eingereichten Gerichtsunterlagen deuten nicht darauf hin, dass das ihn betreffende, zurzeit beim Kassationsgericht hängige Strafverfahren den Anforderungen an ein mit rechtsstaatlichen Mitteln geführtes Strafverfahren nicht genügen würde. Laut der bei den Akten befindlichen deutschen Übersetzung des erstinstanzlichen Urteils vom (Datum) war der Beschwerdeführer anwaltschaftlich vertreten, und das Gericht hat seine Vorbringen gehört und die vorgelegten Beweise gewürdigt, wie der erfolgte Freispruch vom Vorwurf der PKK-Mitgliedschaft aufgrund ungenügender Beweislage zeigt. Es kann davon ausgegangen werden, dass die Verfahrensrechte des Beschwerdeführers auch in dem gegenwärtig beim Kassationshof hängigen Beschwerdeverfahren gewahrt werden. Hinsichtlich der denkbaren Szenarien bezüglich des Verfahrensausgangs (Bestätigung des erstinstanzlichen Urteils vom [Datum] oder dessen Kassation und damit erneute Durchführung des erstinstanzlichen Verfahrens mit einem wiederum anfechtbaren Entscheid) kann auf die zutreffenden Ausführungen in der angefochtenen Verfügung des BFM verwiesen werden; die Verfahrensdauer dürfte bei allen Varianten noch beträchtlich sein. Der Beschwerdeführer wurde am (Datum) aus der Untersuchungshaft entlassen und befindet sich seither auf freiem Fuss. Hinsichtlich der erstandenen Untersuchungshaft ist festzuhalten, dass eine Einreisebewilligung in erster Linie dem präventiven Schutz vor Verfolgung und nicht der Kompensation von erlittenem Unrecht - sollte das Strafverfahren mit einem vollumfänglichen Freispruch des Beschwerdeführers enden - dient. Da aufgrund der Aktenlage nicht mit einem in Kürze bevorstehenden rechtskräftigen Abschluss des Strafverfahrens und - gegebenenfalls - mit einem unmittelbar anstehenden Strafvollzug (unter Anrechnung der bereits erstandenen Untersuchungshaft) zu rechnen ist, liegen mithin keine Hinweise dafür vor, dass der Beschwerdeführer im jetzigen Zeitpunkt asylrechtlich relevante Nachteile zu erwarten hätte. An dieser Feststellung vermögen auch die im Rahmen der Anhörung bei der schweizerischen Vertretung in Ankara am 2. Oktober 2009 gemachten Hinweise des Beschwerdeführers, Sicherheitskräfte hätten auch nach seiner Haftentlassung am (Datum) seine Eltern und den Dorfvorsteher nach ihm befragt, nichts zu ändern. Schliesslich ist auch nicht feststellbar, dass dem Beschwerdeführer aus dem Urteil des türkischen Verfassungsgerichts vom 11. Dezember 2009, mit welchem die DTP verboten wurde, asylrechtlich relevante Nachteile erwachsen wären.</w:t>
      </w:r>
    </w:p>
    <w:p>
      <w:r>
        <w:rPr>
          <w:b/>
        </w:rPr>
        <w:t>E. 5.2</w:t>
      </w:r>
    </w:p>
    <w:p>
      <w:r>
        <w:t>Nach dem Gesagten ist festzustellen, dass es dem Beschwerdeführer nicht gelungen ist, eine aktuelle Gefährdung aus asylrechtlich relevanten Motiven aufzuzeigen, die die Bewilligung der Einreise in die Schweiz rechtfertigen würde. Die Schutzbedürftigkeit im Sinne von Art. 20 i.V.m. Art. 3 AsylG ist im gegenwärtigen Zeitpunkt als nicht gegeben zu qualifizieren. Im Übrigen ist eine Beziehungsnähe des Beschwerdeführers zur Schweiz zu verneinen (Art. 52 Abs. 2 AsylG). Insgesamt liegen somit keine überwiegenden Anhaltspunkte für eine Einreise in die Schweiz vor (vgl. EMARK 2005 Nr. 19). Es erübrigt sich damit, auf die weiteren Vorbringen in der Beschwerde einzugehen, da diese am Ergebnis nichts zu ändern vermögen. Das BFM hat dem Beschwerdeführer zu Recht die Einreise in die Schweiz verweigert und dessen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