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D-4728/2009 vom 27. Mai 2011</w:t>
      </w:r>
    </w:p>
    <w:p>
      <w:r>
        <w:t>Bundesverwaltungsgericht, 2011-05-27, DE</w:t>
      </w:r>
    </w:p>
    <w:p>
      <w:r>
        <w:rPr>
          <w:b/>
        </w:rPr>
        <w:t xml:space="preserve">Quelle: </w:t>
      </w:r>
      <w:r>
        <w:t>https://mcp.opencaselaw.ch/entscheid/bvger_D-4728_2009</w:t>
      </w:r>
    </w:p>
    <w:p>
      <w:r>
        <w:t>FR: TAF D-4728/2009 du 27 mai 2011</w:t>
      </w:r>
    </w:p>
    <w:p>
      <w:r>
        <w:t>IT: TAF D-4728/2009 del 27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 mit weiteren Hinweisen).</w:t>
      </w:r>
    </w:p>
    <w:p>
      <w:r>
        <w:rPr>
          <w:b/>
        </w:rPr>
        <w:t>E. 3.3</w:t>
      </w:r>
    </w:p>
    <w:p>
      <w:r>
        <w:t>Wer sich darauf beruft, dass durch seine Ausreise oder sein Verhalten danach eine Gefährdungssituation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BVGE 2009/28 E. 7.1 S. 352).</w:t>
      </w:r>
    </w:p>
    <w:p>
      <w:r>
        <w:rPr>
          <w:b/>
        </w:rPr>
        <w:t>E. 4</w:t>
      </w:r>
    </w:p>
    <w:p>
      <w:r>
        <w:t>Das BFM erachtete die geltend gemachte Inhaftierung des Beschwerdeführers und die anschliessende Flucht aufgrund widersprüchlicher Angaben als unglaubhaft, weshalb auch nicht von einer illegal erfolgten Ausreise aus Eritrea auszugehen sei. Dieser Einschätzung kann gemäss den nachfolgenden Erwägungen nur teilweise gefolgt werden.</w:t>
      </w:r>
    </w:p>
    <w:p>
      <w:r>
        <w:rPr>
          <w:b/>
        </w:rPr>
        <w:t>E. 4.1</w:t>
      </w:r>
    </w:p>
    <w:p>
      <w:r>
        <w:t>Die Identität des Beschwerdeführers steht mangels Vorlage rechtsgenüglicher Reise- oder Identitätsdokumente zwar nicht zweifelsfrei fest, jedoch ist aufgrund der Aktenlage mit überwiegender Wahrscheinlichkeit davon auszugehen, dass es sich beim Beschwerdeführer um einen eritreischen Staatsbürger handelt; das BFM hat dessen Nationalität denn auch im ganzen Verfahren mit Eritrea bezeichnet.</w:t>
      </w:r>
    </w:p>
    <w:p>
      <w:r>
        <w:rPr>
          <w:b/>
        </w:rPr>
        <w:t>E. 4.2</w:t>
      </w:r>
    </w:p>
    <w:p>
      <w:r>
        <w:t>Hinsichtlich der Vorbringen des Beschwerdeführers im Zusammenhang mit der angeblichen Verfolgung bis zum Zeitpunkt der Ausreise aus Eritrea kommt das Bundesverwaltungsgericht zum Schluss, dass das BFM diese zu Recht und mit zutreffender Begründung als den Anforderungen an die Glaubhaftigkeit gemäss Art. 7 AsylG nicht genügend erachtet hat. Die Vorbringen bezüglich der geltend gemachten Haft und der damit verbundenen Flucht sind in sich nicht stimmig; sie weisen gewichtige Widersprüche und Ungereimtheiten auf, die mit den Beschwerdeeingaben vom 23. Juli 2009 und vom 20. August 2009 nicht entkräftet werden konnten.</w:t>
      </w:r>
    </w:p>
    <w:p>
      <w:r>
        <w:rPr>
          <w:b/>
        </w:rPr>
        <w:t>E. 4.2.1</w:t>
      </w:r>
    </w:p>
    <w:p>
      <w:r>
        <w:t>Der Beschwerdeführer rügte in formeller Hinsicht eine unsorgfältige Übersetzung der Anhörung vom 16. Juni 2008 und damit eine Verletzung des rechtlichen Gehörs. Dem Einwand, die von der Vorinstanz aufgezeigten Widersprüche dürften auf der unsorgfältigen Protokollierung beziehungsweise der Übersetzungsproblematik basieren, kann indes nicht gefolgt werden. Der Beschwerdeführer gab zu Protokoll, dass er den Übersetzer gut verstehe (vgl. A10 S. 2 F2). Von Verständigungsproblemen ist daher nicht auszugehen. Nach erfolgter Anhörung wurde dem Beschwerdeführer das Protokoll vollständig rückübersetzt, verbunden mit der ausdrücklichen Aufforderung, mitzuteilen, falls die Protokollierung nicht seinen Aussagen entspreche; die Protokollierung wurde vom Beschwerdeführer jedoch - abgesehen von einer einzigen Stelle (vgl. A10 S. 3 F5 [Grössenangabe des Militärausweises]) - nicht beanstandet und von ihm unterschrieben (vgl. A10 S. 17). Der Beschwerdeführer ist auf seine unterschriftlich bestätigten Aussagen zu behaften. Der rechtserhebliche Sachverhalt ist damit hinreichend erstellt.</w:t>
      </w:r>
    </w:p>
    <w:p>
      <w:r>
        <w:rPr>
          <w:b/>
        </w:rPr>
        <w:t>E. 4.2.2</w:t>
      </w:r>
    </w:p>
    <w:p>
      <w:r>
        <w:t>Das Datum der Ausreise des Beschwerdeführers aus Eritrea ist nicht belegt und an der geltend gemachten Desertion bestehen grundsätzliche Zweifel. Wäre der Beschwerdeführer nach der Absolvierung des obligatorischen Militärdienstes tatsächlich nicht aus dem Dienst entlassen worden, so wäre nicht ersichtlich, weshalb er dennoch bereits eine Bestätigung des Abschlusses des Militärdienstes erhalten haben sollte. Zudem erscheint es nicht nachvollziehbar, weshalb die betreffende Urkunde vom 15. Oktober 2000 datiert, wenn diese dem Beschwerdeführer erst im Jahr 2001 ausgestellt worden sei (vgl. A10 S. 4 F17). Es entsteht dadurch vielmehr der Eindruck, der Beschwerdeführer habe den gesetzlichen "National Service" von eineinhalb Jahren am 15. Oktober 2000 beendet gehabt und sei danach - unter Aushändigung der entsprechenden Bestätigung - entlassen worden, zumal seine Vorbringen bezüglich der angeblichen Inhaftierung wegen seines Engagements für vergewaltigte Frauen nicht zu überzeugen vermögen. So gab der Beschwerdeführer diesbezüglich zunächst an, die betreffenden Frauen hätten sich ihm in tagelangen Gesprächen anvertraut (vgl. A10 S. 10 F81), wogegen später nur noch von einem einzigen Gespräch die Rede war (vgl. A10 S. 1 F89 f.); auch hinsichtlich des Zeitpunkts dieses Gesprächs äusserte sich der Beschwerdeführer widersprüchlich (vgl. A10 S. 10 F83 [eine Woche vor der Versammlung vom 23. Dezember 2005]; A10 S. 10 F91, A10 S. 15 F134/136 [einen Monat vor der Versammlung vom 23. Dezember 2005]). Zum Inhalt der betreffenden Gespräche beziehungsweise des einen Gesprächs konnte der Beschwerdeführer keine substanziierten Angaben machen. Trotz wiederholten Nachhakens sprach er zumeist nur in genereller Form von Vorkommnissen in der eritreischen Armee. Aus seinen Schilderungen ist denn auch nicht ersichtlich, weshalb sich die beiden Frauen genau an ihn - einen relativ fremden Dienstkollegen - gewendet haben sollten, um ihr Leid zu klagen, zumal kein enges, von Vertrauen geprägtes Verhältnis erkennbar ist und grundsätzlich davon auszugehen ist, dass von sexueller Gewalt betroffene Frauen sich scheuen, gegenüber Fremden über ihre Erfahrungen zu berichten. Im Zusammenhang mit der der Verhaftung zu Grunde liegenden Versammlung vom 23. Dezember 2005 äusserte sich der Beschwerdeführer ebenfalls widersprüchlich, indem er zunächst angab, ein anderer Soldat, der sich bei der Versammlung für ihn eingesetzt habe, sei dann auch festgenommen worden (vgl. A10 S. 6 F47), später jedoch vorbrachte, er sei der Einzige gewesen, der verhaftet worden sei (vgl. A10 S. 15 F140). Hinsichtlich der geltend gemachten Umstände der Flucht aus der Gefangenschaft erscheint es zudem schlicht nicht nachvollziehbar, weshalb Insassen der Haftanstalt G._______ zum Holz Sammeln in das rund 360 km entfernte H._______ gebracht worden sein sollten. Im Übrigen erscheint es auch wenig glaubhaft, dass lediglich ein einziger Wächter die Gefangenen während der Nacht bewacht habe, so dass der Beschwerdeführer habe fliehen können, indem er einfach davon gerannt sei, als der besagte Wächter eingeschlafen sei (vgl. A1 S. 5, A10 S. 12 F109/113).</w:t>
      </w:r>
    </w:p>
    <w:p>
      <w:r>
        <w:rPr>
          <w:b/>
        </w:rPr>
        <w:t>E. 4.2.3</w:t>
      </w:r>
    </w:p>
    <w:p>
      <w:r>
        <w:t>Die Vorbringen des Beschwerdeführers vermögen aufgrund des Gesagten insgesamt nicht zu überzeugen; die geltend gemachte Haft und anschliessende Flucht und somit auch die Desertion erscheinen unglaubhaft. Dem Beschwerdeführer ist es damit nicht gelungen, eine im Zeitpunkt der Ausreise aus Eritrea bestehende asylrechtlich relevante Verfolgung nachzuweisen oder glaubhaft zu machen. Die eingereichten Beweismittel vermögen an dieser Einschätzung nichts zu ändern. Die Urkunde betreffend die Absolvierung des obligatorischen Militärdienstes vom 15. April 1999 bis zum 15. Oktober 2000 und die Fotografie des Beschwerdeführers in Uniform können nicht als Beleg dafür dienen, dass der Beschwerdeführer im Zeitpunkt der - zeitlich nicht belegten - Ausreise aus Eritrea im aktiven Militärdienst gestanden habe beziehungsweise aus diesem desertiert sei (vgl. EMARK 2006 Nr. 3).</w:t>
      </w:r>
    </w:p>
    <w:p>
      <w:r>
        <w:rPr>
          <w:b/>
        </w:rPr>
        <w:t>E. 4.3</w:t>
      </w:r>
    </w:p>
    <w:p>
      <w:r>
        <w:t>Es bleibt zu prüfen, ob der Beschwerdeführer durch die Ausreise aus dem Heimatstaat - mithin wegen subjektiver Nachfluchtgründe - bei einer Rückkehr befürchten müsste, ernsthaften Nachteilen im Sinne von Art. 3 AsylG ausgesetzt zu werden.</w:t>
      </w:r>
    </w:p>
    <w:p>
      <w:r>
        <w:rPr>
          <w:b/>
        </w:rPr>
        <w:t>E. 4.3.1</w:t>
      </w:r>
    </w:p>
    <w:p>
      <w:r>
        <w:t>Als subjektive Nachfluchtgründe gelten insbesondere illegales Verlassen des Heimatlandes (sogenannte Republikflucht), Einreichung eines Asylgesuchs im Ausland oder aus der Sicht der heimatstaatlichen Behörden unerwünschte exilpolitische Betätigung, wenn sie die Gefahr einer zukünftigen Verfolgung begründen. Durch Republikflucht zum Flüchtling wird, wer sich aufgrund der unerlaubten Ausreise mit Sanktionen konfrontiert sieht, die bezüglich ihrer Intensität und der politischen Motivation des Staates ernsthafte Nachteile gemäss Art. 3 AsylG darstellen.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4.3.2</w:t>
      </w:r>
    </w:p>
    <w:p>
      <w:r>
        <w:t>Der Folgerung des BFM, dass angesichts der unglaubhaften Schilderung der Inhaftierung des Beschwerdeführers und der anschliessenden Flucht auch die geltend gemachte illegale Ausreise aus Eritrea nicht geglaubt werden könne, kann nicht beigepflichtet werden. Die eritreischen Ausreisebestimmungen sind äusserst restriktiv und legale Ausreisen sind nur mit einem gültigen Reisepass und einem entsprechenden Ausreisevisum möglich (vgl. Art. 11 der "Proclamation No. 24/1992"), wobei gemäss den Erkenntnissen des Bundesverwaltungsgerichts Männer bis zum Alter von 54 Jahren und Frauen bis 47 Jahre - d. h. bis zur altersbedingten Beendigung der allgemeinen Wehrpflicht - grundsätzlich von der Visumserteilung ausgeschlossen sind. Das illegale Verlassen des Landes wird als Zeichen politischer Opposition erachtet und hart bestraft (vgl. Art. 29 der "Proclamation No. 24/1992"). Der Beschwerdeführer ist unbestrittenermassen eritreischer Staatsangehöriger und noch keine 54 Jahre alt. Hinweise, wonach er Eritrea den restriktiven Ausreisebestimmungen zum Trotz auf legale Weise, mithin mit einem behördlichen Ausreisevisum, hätte verlassen können, liegen keine vor; vielmehr ist von einer mit überwiegender Wahrscheinlichkeit illegal erfolgten Ausreise auszugehen. Da er damit einen Grund gesetzt hat, bei einer Rückkehr Opfer flüchtlingsrechtlich relevanter Verfolgungsmassnahmen im Sinne von Art. 3 AsylG zu werden, ist das Bestehen subjektiver Nachfluchtgründe im Sinne von Art. 54 AsylG zu bejahen. Er erfüllt somit die Flüchtlingseigenschaft; vom Asyl bleibt er jedoch gemäss Art. 54 AsylG ausgeschlossen.</w:t>
      </w:r>
    </w:p>
    <w:p>
      <w:r>
        <w:rPr>
          <w:b/>
        </w:rPr>
        <w:t>E. 5.1</w:t>
      </w:r>
    </w:p>
    <w:p>
      <w:r>
        <w:t>Lehnt das Bundesamt das Asylgesuch ab oder tritt es darauf nicht ein, so verfügt es in der Regel die Wegweisung aus der Schweiz (Art. 44 Abs. 1 AsylG). Gemäss Art. 32 Bst. a der Asylverordnung 1 vom 11. August 1999 über Verfahrensfragen (AsylV 1, SR 142.311) wird die Wegweisung nicht verfügt, wenn die asylsuchende Person im Besitz einer gültigen Aufenthalts- oder Niederlassungsbewilligung ist.</w:t>
      </w:r>
    </w:p>
    <w:p>
      <w:r>
        <w:rPr>
          <w:b/>
        </w:rPr>
        <w:t>E. 5.2</w:t>
      </w:r>
    </w:p>
    <w:p>
      <w:r>
        <w:t>Der Beschwerdeführer verfügt bis zum jetzigen Zeitpunkt weder über eine ausländerrechtliche Aufenthaltsbewilligung noch über einen Anspruch auf Erteilung einer solchen. Die Wegweisung wurde daher zu Recht angeordnet (vgl. BVGE 2008/34 E. 9.2 S. 510; EMARK 2001 Nr. 21). Daran vermag das gemäss den vorinstanzlichen Akten im (...) in der Schweiz eingeleitete Ehevorbereitungsverfahren nichts zu ändern.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6.2</w:t>
      </w:r>
    </w:p>
    <w:p>
      <w:r>
        <w:t>Das BFM ordnete die vorläufige Aufnahme des Beschwerdeführers wegen Unzumutbarkeit des Wegweisungsvollzugs an, so dass sich an sich weitere Ausführungen zur Durchführbarkeit des Wegweisungsvollzugs erübrigen würden. Da das BFM den Vollzug der Wegweisung jedoch ausdrücklich als zulässig erachtete, ist festzustellen, dass diese Einschätzung nicht zutrifft. Aus den vorstehenden Erwägungen ergibt sich, dass der Beschwerdeführer aufgrund des Bestehens subjektiver Nachfluchtgründe eine begründete Furcht vor zukünftiger Verfolgung im Sinne von Art. 3 AsylG glaubhaft machen konnte. Der Vollzug der Wegweisung erweist sich daher wegen drohender Verletzung des flüchtlingsrechtlichen Gebots des Non-Refoulements (Art. 5 AsylG) und auch mit Blick auf Art. 3 EMRK als unzulässig (Art. 83 Abs. 3 AuG), da davon ausgegangen werden muss, dass der Beschwerdeführer im Falle seiner Rückkehr nach Eritrea mit beachtlicher Wahrscheinlichkeit menschenrechtswidriger Behandlung ausgesetzt wäre.</w:t>
      </w:r>
    </w:p>
    <w:p>
      <w:r>
        <w:rPr>
          <w:b/>
        </w:rPr>
        <w:t>E. 7</w:t>
      </w:r>
    </w:p>
    <w:p>
      <w:r>
        <w:t>Die Beschwerde ist nach dem Gesagten insoweit gutzuheissen, als die Anerkennung als Flüchtling und die Feststellung der Unzulässigkeit des Wegweisungsvollzugs beantragt wurden. Die Ziffer 1 des Dispositivs der Verfügung des BFM vom 23. Juni 2009 ist aufzuheben und die Vorinstanz ist anzuweisen, den Beschwerdeführer als Flüchtling anzuerkennen. Hinsichtlich des Wegweisungsvollzugs ist das BFM anzuweisen, die Ziffer 4 des Dispositivs insoweit abzuändern, als der Wegweisungsvollzug wegen Unzulässigkeit aufzuschieben ist. Im Übrigen ist die Beschwerde abzuweisen.</w:t>
      </w:r>
    </w:p>
    <w:p>
      <w:r>
        <w:rPr>
          <w:b/>
        </w:rPr>
        <w:t>E. 8</w:t>
      </w:r>
    </w:p>
    <w:p>
      <w:r>
        <w:t>Bei diesem Ausgang des Verfahrens wäre dem Beschwerdeführer grundsätzlich ein reduzierter Anteil der Verfahrenskosten aufzuerlegen (Art. 63 Abs. 1 VwVG). Da dem Beschwerdeführer jedoch am 10. August 2009 die unentgeltliche Rechtspflege gemäss Art. 65 Abs. 1 VwVG gewährt wurde und nach wie vor von dessen Bedürftigkeit auszugehen ist, ist von der Erhebung von Verfahrenskosten abzusehen.</w:t>
      </w:r>
    </w:p>
    <w:p>
      <w:r>
        <w:rPr>
          <w:b/>
        </w:rPr>
        <w:t>E. 9</w:t>
      </w:r>
    </w:p>
    <w:p>
      <w:r>
        <w:t>Dem vertretenen Beschwerdeführer ist angesichts seines teilweisen Obsiegens in Anwendung von Art. 64 Abs. 1 VwVG i.V.m. Art. 7 Abs. 1 und 2 des Reglements vom 21. Februar 2008 über die Kosten und Entschädigungen vor dem Bundesverwaltungsgericht (VGKE, SR 173.320.2) eine praxisgemäss um einen Drittel reduzierte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(Art. 14 Abs. 2 VGKE). Gestützt auf die in Betracht zu ziehenden Bemessungsfaktoren (Art. 8-13 VGKE) ist dem Beschwerdeführer zu Lasten der Vorinstanz eine um einen Drittel reduzierte Parteientschädigung von Fr. 700.-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